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8CF6EC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w:t>
      </w:r>
      <w:r w:rsidR="000C07E1">
        <w:t>0</w:t>
      </w:r>
      <w:r w:rsidR="00562498">
        <w:t>1502</w:t>
      </w:r>
    </w:p>
    <w:p w14:paraId="35BF833C" w14:textId="77777777" w:rsidR="00DF018A" w:rsidRPr="008E18F2" w:rsidRDefault="00DF018A" w:rsidP="00DF018A">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7E57FD08"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992EBC">
        <w:rPr>
          <w:sz w:val="22"/>
        </w:rPr>
        <w:t>, Nokia Shanghai Bell</w:t>
      </w:r>
    </w:p>
    <w:p w14:paraId="48427630" w14:textId="5676CC62"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5582C" w:rsidRPr="00562498">
        <w:rPr>
          <w:sz w:val="22"/>
        </w:rPr>
        <w:t>Dynamic TDD RF co</w:t>
      </w:r>
      <w:r w:rsidR="00E46CA7" w:rsidRPr="00562498">
        <w:rPr>
          <w:sz w:val="22"/>
        </w:rPr>
        <w:t>-</w:t>
      </w:r>
      <w:r w:rsidR="0035582C" w:rsidRPr="00562498">
        <w:rPr>
          <w:sz w:val="22"/>
        </w:rPr>
        <w:t>existence</w:t>
      </w:r>
      <w:r w:rsidR="00CF249F" w:rsidRPr="00562498">
        <w:rPr>
          <w:sz w:val="22"/>
        </w:rPr>
        <w:t xml:space="preserve"> among operators in adjacent channels</w:t>
      </w:r>
    </w:p>
    <w:p w14:paraId="38BCE621" w14:textId="0B83B300" w:rsidR="00C24D31" w:rsidRPr="00E46CA7" w:rsidRDefault="00C24D31" w:rsidP="0043450E">
      <w:pPr>
        <w:rPr>
          <w:color w:val="000000"/>
          <w:lang w:val="en-US"/>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E46CA7" w:rsidRPr="00562498">
        <w:rPr>
          <w:sz w:val="22"/>
        </w:rPr>
        <w:t>8.2.2</w:t>
      </w:r>
    </w:p>
    <w:p w14:paraId="41D55FE6" w14:textId="7BC94B34" w:rsidR="00C24D31" w:rsidRPr="0057669F" w:rsidRDefault="00C24D31" w:rsidP="0043450E">
      <w:pPr>
        <w:rPr>
          <w:b/>
          <w:sz w:val="22"/>
        </w:rPr>
      </w:pPr>
      <w:r w:rsidRPr="0057669F">
        <w:rPr>
          <w:b/>
          <w:sz w:val="22"/>
        </w:rPr>
        <w:t>Document for:</w:t>
      </w:r>
      <w:r w:rsidR="00E46CA7">
        <w:rPr>
          <w:b/>
          <w:sz w:val="22"/>
        </w:rPr>
        <w:tab/>
      </w:r>
      <w:r w:rsidR="00E46CA7" w:rsidRPr="00E46CA7">
        <w:rPr>
          <w:sz w:val="22"/>
        </w:rPr>
        <w:tab/>
      </w:r>
      <w:r w:rsidR="00E46CA7" w:rsidRPr="00E46CA7">
        <w:rPr>
          <w:sz w:val="22"/>
        </w:rPr>
        <w:tab/>
        <w:t>Approval</w:t>
      </w:r>
    </w:p>
    <w:p w14:paraId="31CCC137" w14:textId="77777777" w:rsidR="0043450E" w:rsidRDefault="0043450E" w:rsidP="0043450E">
      <w:pPr>
        <w:pStyle w:val="Heading1"/>
      </w:pPr>
      <w:r>
        <w:t>1</w:t>
      </w:r>
      <w:r>
        <w:tab/>
        <w:t>Introduction</w:t>
      </w:r>
    </w:p>
    <w:p w14:paraId="171D1979" w14:textId="7CE17711" w:rsidR="00EA3488" w:rsidRDefault="00CF249F" w:rsidP="000B5E8E">
      <w:r>
        <w:t>The Work Item on Cross-Link Interference management was adop</w:t>
      </w:r>
      <w:r w:rsidR="002F0018">
        <w:t>t</w:t>
      </w:r>
      <w:r>
        <w:t>ed in RAN [1]. The objectives of the work are:</w:t>
      </w:r>
    </w:p>
    <w:p w14:paraId="5266FD2A" w14:textId="77777777" w:rsidR="00CF249F" w:rsidRPr="00CF249F" w:rsidRDefault="00CF249F" w:rsidP="00CF249F">
      <w:pPr>
        <w:spacing w:after="0"/>
        <w:ind w:left="284"/>
        <w:rPr>
          <w:bCs/>
          <w:color w:val="0070C0"/>
          <w:lang w:eastAsia="ko-KR"/>
        </w:rPr>
      </w:pPr>
      <w:r w:rsidRPr="00CF249F">
        <w:rPr>
          <w:rFonts w:hint="eastAsia"/>
          <w:bCs/>
          <w:color w:val="0070C0"/>
          <w:lang w:eastAsia="ko-KR"/>
        </w:rPr>
        <w:t xml:space="preserve">The work item should specify cross-link interference mitigation techniques to support flexible resource adaptation. </w:t>
      </w:r>
      <w:r w:rsidRPr="00CF249F">
        <w:rPr>
          <w:bCs/>
          <w:color w:val="0070C0"/>
          <w:lang w:eastAsia="ko-KR"/>
        </w:rPr>
        <w:t xml:space="preserve">Furthermore, it also specifies remote-interference management techniques. </w:t>
      </w:r>
    </w:p>
    <w:p w14:paraId="540B15AA" w14:textId="77777777" w:rsidR="00CF249F" w:rsidRPr="00CF249F" w:rsidRDefault="00CF249F" w:rsidP="00CF249F">
      <w:pPr>
        <w:spacing w:after="0"/>
        <w:ind w:left="284"/>
        <w:rPr>
          <w:bCs/>
          <w:color w:val="0070C0"/>
          <w:lang w:eastAsia="ko-KR"/>
        </w:rPr>
      </w:pPr>
    </w:p>
    <w:p w14:paraId="484AF9B1" w14:textId="77777777" w:rsidR="00CF249F" w:rsidRPr="00CF249F" w:rsidRDefault="00CF249F" w:rsidP="00CF249F">
      <w:pPr>
        <w:spacing w:after="0"/>
        <w:ind w:left="284"/>
        <w:rPr>
          <w:bCs/>
          <w:color w:val="0070C0"/>
          <w:lang w:eastAsia="ko-KR"/>
        </w:rPr>
      </w:pPr>
      <w:r w:rsidRPr="00CF249F">
        <w:rPr>
          <w:bCs/>
          <w:color w:val="0070C0"/>
          <w:lang w:eastAsia="ko-KR"/>
        </w:rPr>
        <w:t xml:space="preserve">The detailed objectives for cross-link interference mitigation to support flexible resource adaptation for unpaired NR cells are: </w:t>
      </w:r>
    </w:p>
    <w:p w14:paraId="7F59DA75" w14:textId="77777777" w:rsidR="00CF249F" w:rsidRPr="00CF249F" w:rsidRDefault="00CF249F" w:rsidP="00CF249F">
      <w:pPr>
        <w:numPr>
          <w:ilvl w:val="0"/>
          <w:numId w:val="5"/>
        </w:numPr>
        <w:tabs>
          <w:tab w:val="clear" w:pos="720"/>
          <w:tab w:val="num" w:pos="1004"/>
        </w:tabs>
        <w:spacing w:after="0"/>
        <w:ind w:left="1004"/>
        <w:rPr>
          <w:color w:val="0070C0"/>
        </w:rPr>
      </w:pPr>
      <w:r w:rsidRPr="00CF249F">
        <w:rPr>
          <w:color w:val="0070C0"/>
        </w:rPr>
        <w:t xml:space="preserve">Specify cross-link interference measurements at a UE (e.g., CLI-RSSI and/or CLI-RSRP) [RAN1, RAN4] </w:t>
      </w:r>
    </w:p>
    <w:p w14:paraId="351EAE92" w14:textId="77777777" w:rsidR="00CF249F" w:rsidRPr="00CF249F" w:rsidRDefault="00CF249F" w:rsidP="00CF249F">
      <w:pPr>
        <w:numPr>
          <w:ilvl w:val="1"/>
          <w:numId w:val="5"/>
        </w:numPr>
        <w:tabs>
          <w:tab w:val="clear" w:pos="1440"/>
          <w:tab w:val="num" w:pos="1724"/>
        </w:tabs>
        <w:spacing w:after="0"/>
        <w:ind w:left="1724"/>
        <w:rPr>
          <w:color w:val="0070C0"/>
        </w:rPr>
      </w:pPr>
      <w:r w:rsidRPr="00CF249F">
        <w:rPr>
          <w:rFonts w:hint="eastAsia"/>
          <w:color w:val="0070C0"/>
          <w:lang w:eastAsia="ko-KR"/>
        </w:rPr>
        <w:t>I</w:t>
      </w:r>
      <w:r w:rsidRPr="00CF249F">
        <w:rPr>
          <w:color w:val="0070C0"/>
        </w:rPr>
        <w:t>dentify when cross-link interference mitigation techniques based on such measurement(s) provide benefits with practical RF performance [RAN4]</w:t>
      </w:r>
    </w:p>
    <w:p w14:paraId="751BD873" w14:textId="77777777" w:rsidR="00CF249F" w:rsidRPr="00CF249F" w:rsidRDefault="00CF249F" w:rsidP="00CF249F">
      <w:pPr>
        <w:numPr>
          <w:ilvl w:val="0"/>
          <w:numId w:val="5"/>
        </w:numPr>
        <w:tabs>
          <w:tab w:val="clear" w:pos="720"/>
          <w:tab w:val="num" w:pos="1004"/>
        </w:tabs>
        <w:spacing w:after="0"/>
        <w:ind w:left="1004"/>
        <w:rPr>
          <w:color w:val="0070C0"/>
        </w:rPr>
      </w:pPr>
      <w:r w:rsidRPr="00CF249F">
        <w:rPr>
          <w:color w:val="0070C0"/>
        </w:rPr>
        <w:t>Specify network coordination mechanism(s) including at least exchange of intended DL/UL configuration [RAN1, RAN3]</w:t>
      </w:r>
    </w:p>
    <w:p w14:paraId="484BA392" w14:textId="77777777" w:rsidR="00CF249F" w:rsidRPr="00F03666" w:rsidRDefault="00CF249F" w:rsidP="00CF249F">
      <w:pPr>
        <w:numPr>
          <w:ilvl w:val="0"/>
          <w:numId w:val="5"/>
        </w:numPr>
        <w:tabs>
          <w:tab w:val="clear" w:pos="720"/>
          <w:tab w:val="num" w:pos="1004"/>
        </w:tabs>
        <w:spacing w:after="0"/>
        <w:ind w:left="1004"/>
        <w:rPr>
          <w:color w:val="0070C0"/>
          <w:highlight w:val="yellow"/>
        </w:rPr>
      </w:pPr>
      <w:r w:rsidRPr="00F03666">
        <w:rPr>
          <w:color w:val="0070C0"/>
          <w:highlight w:val="yellow"/>
        </w:rPr>
        <w:t>Perform coexistence study to identify conditions of coexistence among different operators in adjacent channels [RAN4]</w:t>
      </w:r>
    </w:p>
    <w:p w14:paraId="18CEF22E" w14:textId="77777777" w:rsidR="00CF249F" w:rsidRPr="00F03666" w:rsidRDefault="00CF249F" w:rsidP="00CF249F">
      <w:pPr>
        <w:numPr>
          <w:ilvl w:val="1"/>
          <w:numId w:val="5"/>
        </w:numPr>
        <w:tabs>
          <w:tab w:val="clear" w:pos="1440"/>
          <w:tab w:val="num" w:pos="1724"/>
        </w:tabs>
        <w:spacing w:after="0"/>
        <w:ind w:left="1724"/>
        <w:rPr>
          <w:color w:val="0070C0"/>
          <w:highlight w:val="yellow"/>
        </w:rPr>
      </w:pPr>
      <w:r w:rsidRPr="00F03666">
        <w:rPr>
          <w:color w:val="0070C0"/>
          <w:highlight w:val="yellow"/>
        </w:rPr>
        <w:t>Target no or very minimal impact on RF requirement</w:t>
      </w:r>
    </w:p>
    <w:p w14:paraId="562D95E4" w14:textId="77777777" w:rsidR="00CF249F" w:rsidRPr="00CF249F" w:rsidRDefault="00CF249F" w:rsidP="00CF249F">
      <w:pPr>
        <w:spacing w:after="0"/>
        <w:ind w:left="284"/>
        <w:rPr>
          <w:color w:val="0070C0"/>
          <w:lang w:eastAsia="ko-KR"/>
        </w:rPr>
      </w:pPr>
    </w:p>
    <w:p w14:paraId="2DDC3B19" w14:textId="77777777" w:rsidR="00CF249F" w:rsidRPr="00CF249F" w:rsidRDefault="00CF249F" w:rsidP="00CF249F">
      <w:pPr>
        <w:spacing w:after="0"/>
        <w:ind w:left="284"/>
        <w:rPr>
          <w:color w:val="0070C0"/>
          <w:lang w:eastAsia="ko-KR"/>
        </w:rPr>
      </w:pPr>
      <w:r w:rsidRPr="00CF249F">
        <w:rPr>
          <w:color w:val="0070C0"/>
          <w:lang w:eastAsia="ko-KR"/>
        </w:rPr>
        <w:t xml:space="preserve">Note: </w:t>
      </w:r>
      <w:r w:rsidRPr="00CF249F">
        <w:rPr>
          <w:rFonts w:hint="eastAsia"/>
          <w:color w:val="0070C0"/>
          <w:lang w:eastAsia="ko-KR"/>
        </w:rPr>
        <w:t xml:space="preserve">The objectives for remote-interference management </w:t>
      </w:r>
      <w:r w:rsidRPr="00CF249F">
        <w:rPr>
          <w:color w:val="0070C0"/>
          <w:lang w:eastAsia="ko-KR"/>
        </w:rPr>
        <w:t xml:space="preserve">will be updated once study on RIM is completed. </w:t>
      </w:r>
    </w:p>
    <w:p w14:paraId="74D3FDCE" w14:textId="77777777" w:rsidR="00CF249F" w:rsidRPr="00CF249F" w:rsidRDefault="00CF249F" w:rsidP="00CF249F">
      <w:pPr>
        <w:spacing w:after="0"/>
        <w:ind w:left="284"/>
        <w:rPr>
          <w:color w:val="0070C0"/>
          <w:lang w:eastAsia="ko-KR"/>
        </w:rPr>
      </w:pPr>
      <w:r w:rsidRPr="00CF249F">
        <w:rPr>
          <w:color w:val="0070C0"/>
          <w:lang w:eastAsia="ko-KR"/>
        </w:rPr>
        <w:t>Note:</w:t>
      </w:r>
      <w:r w:rsidRPr="00CF249F">
        <w:rPr>
          <w:rFonts w:hint="eastAsia"/>
          <w:color w:val="0070C0"/>
          <w:lang w:eastAsia="ko-KR"/>
        </w:rPr>
        <w:t xml:space="preserve"> Measurement and coordination mechanisms </w:t>
      </w:r>
      <w:r w:rsidRPr="00CF249F">
        <w:rPr>
          <w:color w:val="0070C0"/>
          <w:lang w:eastAsia="ko-KR"/>
        </w:rPr>
        <w:t>can be applicable to</w:t>
      </w:r>
      <w:r w:rsidRPr="00CF249F">
        <w:rPr>
          <w:rFonts w:hint="eastAsia"/>
          <w:color w:val="0070C0"/>
          <w:lang w:eastAsia="ko-KR"/>
        </w:rPr>
        <w:t xml:space="preserve"> IAB </w:t>
      </w:r>
      <w:r w:rsidRPr="00CF249F">
        <w:rPr>
          <w:color w:val="0070C0"/>
          <w:lang w:eastAsia="ko-KR"/>
        </w:rPr>
        <w:t xml:space="preserve">nodes. </w:t>
      </w:r>
    </w:p>
    <w:p w14:paraId="03BCABDF" w14:textId="77777777" w:rsidR="00CF249F" w:rsidRDefault="00CF249F" w:rsidP="000B5E8E"/>
    <w:p w14:paraId="781A2A01" w14:textId="268BAD16" w:rsidR="00CF249F" w:rsidRDefault="00CF249F" w:rsidP="000B5E8E">
      <w:r>
        <w:t>This document presents proposals on the co</w:t>
      </w:r>
      <w:r w:rsidR="00E46CA7">
        <w:t>-</w:t>
      </w:r>
      <w:r>
        <w:t>existence study among different operators in adjacent channels.</w:t>
      </w:r>
    </w:p>
    <w:p w14:paraId="1ECA57B6" w14:textId="77777777" w:rsidR="001C3296" w:rsidRDefault="001C3296" w:rsidP="001C3296">
      <w:pPr>
        <w:pStyle w:val="Heading1"/>
      </w:pPr>
      <w:r>
        <w:t>2</w:t>
      </w:r>
      <w:r>
        <w:tab/>
        <w:t>Discussion</w:t>
      </w:r>
    </w:p>
    <w:p w14:paraId="250C2617" w14:textId="29A36508" w:rsidR="00512C65" w:rsidRDefault="00512C65" w:rsidP="00512C65">
      <w:pPr>
        <w:pStyle w:val="Heading2"/>
      </w:pPr>
      <w:r>
        <w:t>2.1</w:t>
      </w:r>
      <w:r>
        <w:tab/>
        <w:t>General</w:t>
      </w:r>
    </w:p>
    <w:p w14:paraId="4070267C" w14:textId="7BDE0E76" w:rsidR="00512C65" w:rsidRDefault="00512C65" w:rsidP="00512C65">
      <w:r>
        <w:t>So far in RAN4, synchronized operation with aligned TDD configurations have been assumed for each TDD band, and RF performance requirements have been derived from coexistence studies targeting such operating mode. This mitigates interference across operators; the unwanted emissions (e.g. ACLR) and finite receiver selectivity (e.g. ACS and blocking) can be managed through network planning. Since typically operators deploy base stations at the same sites, adjacent channel interference issues are minimized.</w:t>
      </w:r>
    </w:p>
    <w:p w14:paraId="562B8AA5" w14:textId="056CA8B6" w:rsidR="00512C65" w:rsidRDefault="00512C65" w:rsidP="00512C65">
      <w:r>
        <w:t>In dynamic TDD, operators may use different TDD configurations within a single band, and potentially do not have the same frame timing.</w:t>
      </w:r>
      <w:r w:rsidR="00FA2A7B">
        <w:t xml:space="preserve"> A base station transmitting DL</w:t>
      </w:r>
      <w:r w:rsidR="00D355D3">
        <w:t xml:space="preserve"> may cause interference to</w:t>
      </w:r>
      <w:r w:rsidR="00FA2A7B">
        <w:t xml:space="preserve"> another bas</w:t>
      </w:r>
      <w:r w:rsidR="00D355D3">
        <w:t>e station receiving UL on the adjacent channel.</w:t>
      </w:r>
      <w:r w:rsidR="00FA2A7B">
        <w:t xml:space="preserve"> </w:t>
      </w:r>
      <w:r w:rsidR="00D355D3">
        <w:t>Similarly, a UE transmitting UL can interfere with a nearby UE receiving DL on the adjacent channel.</w:t>
      </w:r>
      <w:r w:rsidR="00363074">
        <w:t xml:space="preserve"> Since the adjacent channel operator TDD configuration may change, the interference environment may be unpredictable.</w:t>
      </w:r>
    </w:p>
    <w:p w14:paraId="53939198" w14:textId="11FFFFFC" w:rsidR="001B494A" w:rsidRDefault="00982464" w:rsidP="00982464">
      <w:pPr>
        <w:pStyle w:val="Heading2"/>
        <w:rPr>
          <w:lang w:val="en-US"/>
        </w:rPr>
      </w:pPr>
      <w:r>
        <w:rPr>
          <w:lang w:val="en-US"/>
        </w:rPr>
        <w:t>2.</w:t>
      </w:r>
      <w:r w:rsidR="00512C65">
        <w:rPr>
          <w:lang w:val="en-US"/>
        </w:rPr>
        <w:t>2</w:t>
      </w:r>
      <w:r>
        <w:rPr>
          <w:lang w:val="en-US"/>
        </w:rPr>
        <w:tab/>
        <w:t>Base station to base station interference (DL-to-UL)</w:t>
      </w:r>
    </w:p>
    <w:p w14:paraId="6E4E7C91" w14:textId="797DA394" w:rsidR="00E13DFA" w:rsidRDefault="00A15FBF" w:rsidP="00982464">
      <w:pPr>
        <w:rPr>
          <w:lang w:val="en-US"/>
        </w:rPr>
      </w:pPr>
      <w:r>
        <w:rPr>
          <w:lang w:val="en-US"/>
        </w:rPr>
        <w:t>For most operating bands on FR1, the base station ACLR r</w:t>
      </w:r>
      <w:r w:rsidR="00FC75E4">
        <w:rPr>
          <w:lang w:val="en-US"/>
        </w:rPr>
        <w:t>equirement is 45 dB</w:t>
      </w:r>
      <w:r>
        <w:rPr>
          <w:lang w:val="en-US"/>
        </w:rPr>
        <w:t xml:space="preserve"> and the ACS requirement around </w:t>
      </w:r>
      <w:r w:rsidRPr="00A15FBF">
        <w:t>43</w:t>
      </w:r>
      <w:r>
        <w:t> </w:t>
      </w:r>
      <w:r w:rsidRPr="00A15FBF">
        <w:t>dB</w:t>
      </w:r>
      <w:r w:rsidR="00FC75E4">
        <w:t>, for a combined ACIR of roughly 41 dB</w:t>
      </w:r>
      <w:r>
        <w:rPr>
          <w:lang w:val="en-US"/>
        </w:rPr>
        <w:t xml:space="preserve">. The test conditions allow up to 6 dB of receiver desense. </w:t>
      </w:r>
      <w:r w:rsidR="007120DD">
        <w:rPr>
          <w:lang w:val="en-US"/>
        </w:rPr>
        <w:t>The minimum coupling loss between base stations of different classes based on current RAN4 RF performance requirements are shown in Table 1:</w:t>
      </w:r>
    </w:p>
    <w:p w14:paraId="18B3A31A" w14:textId="39F7041E" w:rsidR="009A6A8B" w:rsidRPr="009A6A8B" w:rsidRDefault="009A6A8B" w:rsidP="007120DD">
      <w:pPr>
        <w:keepNext/>
        <w:jc w:val="center"/>
        <w:rPr>
          <w:b/>
          <w:lang w:val="en-US"/>
        </w:rPr>
      </w:pPr>
      <w:r>
        <w:rPr>
          <w:b/>
          <w:lang w:val="en-US"/>
        </w:rPr>
        <w:lastRenderedPageBreak/>
        <w:t>Table 1: Base station m</w:t>
      </w:r>
      <w:r w:rsidR="007A12F4">
        <w:rPr>
          <w:b/>
          <w:lang w:val="en-US"/>
        </w:rPr>
        <w:t>inimum coupling loss for 2</w:t>
      </w:r>
      <w:r>
        <w:rPr>
          <w:b/>
          <w:lang w:val="en-US"/>
        </w:rPr>
        <w:t>0 MHz channel bandwidth</w:t>
      </w:r>
      <w:r w:rsidR="00FC75E4">
        <w:rPr>
          <w:b/>
          <w:lang w:val="en-US"/>
        </w:rPr>
        <w:t xml:space="preserve"> (6 dB desense)</w:t>
      </w:r>
    </w:p>
    <w:tbl>
      <w:tblPr>
        <w:tblStyle w:val="TableGrid"/>
        <w:tblW w:w="9493" w:type="dxa"/>
        <w:jc w:val="center"/>
        <w:tblLook w:val="04A0" w:firstRow="1" w:lastRow="0" w:firstColumn="1" w:lastColumn="0" w:noHBand="0" w:noVBand="1"/>
      </w:tblPr>
      <w:tblGrid>
        <w:gridCol w:w="2943"/>
        <w:gridCol w:w="2179"/>
        <w:gridCol w:w="2192"/>
        <w:gridCol w:w="2179"/>
      </w:tblGrid>
      <w:tr w:rsidR="00DB78B8" w:rsidRPr="00E13DFA" w14:paraId="64BAFCF1" w14:textId="7F83105D" w:rsidTr="00DB78B8">
        <w:trPr>
          <w:jc w:val="center"/>
        </w:trPr>
        <w:tc>
          <w:tcPr>
            <w:tcW w:w="2943" w:type="dxa"/>
          </w:tcPr>
          <w:p w14:paraId="0E453D12" w14:textId="4A7B97C9" w:rsidR="00FC75E4" w:rsidRPr="00E13DFA" w:rsidRDefault="00FC75E4" w:rsidP="00FC75E4">
            <w:pPr>
              <w:spacing w:after="0"/>
              <w:rPr>
                <w:rFonts w:ascii="Arial" w:hAnsi="Arial" w:cs="Arial"/>
                <w:b/>
                <w:lang w:val="en-US"/>
              </w:rPr>
            </w:pPr>
            <w:r w:rsidRPr="00E13DFA">
              <w:rPr>
                <w:rFonts w:ascii="Arial" w:hAnsi="Arial" w:cs="Arial"/>
                <w:b/>
                <w:lang w:val="en-US"/>
              </w:rPr>
              <w:t>Base station class</w:t>
            </w:r>
          </w:p>
        </w:tc>
        <w:tc>
          <w:tcPr>
            <w:tcW w:w="2179" w:type="dxa"/>
          </w:tcPr>
          <w:p w14:paraId="0F1DF365" w14:textId="63E0655D" w:rsidR="00FC75E4" w:rsidRPr="00E13DFA" w:rsidRDefault="00FC75E4" w:rsidP="00FC75E4">
            <w:pPr>
              <w:spacing w:after="0"/>
              <w:jc w:val="center"/>
              <w:rPr>
                <w:rFonts w:ascii="Arial" w:hAnsi="Arial" w:cs="Arial"/>
                <w:b/>
                <w:lang w:val="en-US"/>
              </w:rPr>
            </w:pPr>
            <w:r>
              <w:rPr>
                <w:rFonts w:ascii="Arial" w:hAnsi="Arial" w:cs="Arial"/>
                <w:b/>
                <w:lang w:val="en-US"/>
              </w:rPr>
              <w:t>Wide Area</w:t>
            </w:r>
          </w:p>
        </w:tc>
        <w:tc>
          <w:tcPr>
            <w:tcW w:w="2192" w:type="dxa"/>
          </w:tcPr>
          <w:p w14:paraId="0B0F1FF1" w14:textId="75BE9FB6" w:rsidR="00FC75E4" w:rsidRPr="00E13DFA" w:rsidRDefault="00FC75E4" w:rsidP="00FC75E4">
            <w:pPr>
              <w:spacing w:after="0"/>
              <w:jc w:val="center"/>
              <w:rPr>
                <w:rFonts w:ascii="Arial" w:hAnsi="Arial" w:cs="Arial"/>
                <w:b/>
                <w:lang w:val="en-US"/>
              </w:rPr>
            </w:pPr>
            <w:r>
              <w:rPr>
                <w:rFonts w:ascii="Arial" w:hAnsi="Arial" w:cs="Arial"/>
                <w:b/>
                <w:lang w:val="en-US"/>
              </w:rPr>
              <w:t>Medium Range</w:t>
            </w:r>
          </w:p>
        </w:tc>
        <w:tc>
          <w:tcPr>
            <w:tcW w:w="2179" w:type="dxa"/>
          </w:tcPr>
          <w:p w14:paraId="5E492782" w14:textId="3F2687DD" w:rsidR="00FC75E4" w:rsidRPr="00E13DFA" w:rsidRDefault="00FC75E4" w:rsidP="00FC75E4">
            <w:pPr>
              <w:spacing w:after="0"/>
              <w:jc w:val="center"/>
              <w:rPr>
                <w:rFonts w:ascii="Arial" w:hAnsi="Arial" w:cs="Arial"/>
                <w:b/>
                <w:lang w:val="en-US"/>
              </w:rPr>
            </w:pPr>
            <w:r>
              <w:rPr>
                <w:rFonts w:ascii="Arial" w:hAnsi="Arial" w:cs="Arial"/>
                <w:b/>
                <w:lang w:val="en-US"/>
              </w:rPr>
              <w:t>Local Area</w:t>
            </w:r>
          </w:p>
        </w:tc>
      </w:tr>
      <w:tr w:rsidR="00DB78B8" w:rsidRPr="00E13DFA" w14:paraId="1B68D911" w14:textId="77777777" w:rsidTr="00DB78B8">
        <w:trPr>
          <w:jc w:val="center"/>
        </w:trPr>
        <w:tc>
          <w:tcPr>
            <w:tcW w:w="2943" w:type="dxa"/>
          </w:tcPr>
          <w:p w14:paraId="6746A72F" w14:textId="24E3C9D6" w:rsidR="00FC75E4" w:rsidRPr="00E13DFA" w:rsidRDefault="00FC75E4" w:rsidP="00FC75E4">
            <w:pPr>
              <w:spacing w:after="0"/>
              <w:rPr>
                <w:rFonts w:ascii="Arial" w:hAnsi="Arial" w:cs="Arial"/>
                <w:b/>
                <w:lang w:val="en-US"/>
              </w:rPr>
            </w:pPr>
            <w:r>
              <w:rPr>
                <w:rFonts w:ascii="Arial" w:hAnsi="Arial" w:cs="Arial"/>
                <w:b/>
                <w:lang w:val="en-US"/>
              </w:rPr>
              <w:t>Conducted TX power</w:t>
            </w:r>
          </w:p>
        </w:tc>
        <w:tc>
          <w:tcPr>
            <w:tcW w:w="2179" w:type="dxa"/>
          </w:tcPr>
          <w:p w14:paraId="1C88984F" w14:textId="0DAA511C" w:rsidR="00FC75E4" w:rsidRPr="00FC75E4" w:rsidRDefault="00FC75E4" w:rsidP="00FC75E4">
            <w:pPr>
              <w:spacing w:after="0"/>
              <w:jc w:val="center"/>
              <w:rPr>
                <w:rFonts w:ascii="Arial" w:hAnsi="Arial" w:cs="Arial"/>
                <w:lang w:val="en-US"/>
              </w:rPr>
            </w:pPr>
            <w:r w:rsidRPr="00FC75E4">
              <w:rPr>
                <w:rFonts w:ascii="Arial" w:hAnsi="Arial" w:cs="Arial"/>
                <w:lang w:val="en-US"/>
              </w:rPr>
              <w:t>46 dBm</w:t>
            </w:r>
            <w:r w:rsidR="00DB78B8">
              <w:rPr>
                <w:rFonts w:ascii="Arial" w:hAnsi="Arial" w:cs="Arial"/>
                <w:lang w:val="en-US"/>
              </w:rPr>
              <w:t xml:space="preserve"> (NOTE)</w:t>
            </w:r>
          </w:p>
        </w:tc>
        <w:tc>
          <w:tcPr>
            <w:tcW w:w="2192" w:type="dxa"/>
          </w:tcPr>
          <w:p w14:paraId="3F47C732" w14:textId="6D09CB51" w:rsidR="00FC75E4" w:rsidRPr="00FC75E4" w:rsidRDefault="00FC75E4" w:rsidP="00FC75E4">
            <w:pPr>
              <w:spacing w:after="0"/>
              <w:jc w:val="center"/>
              <w:rPr>
                <w:rFonts w:ascii="Arial" w:hAnsi="Arial" w:cs="Arial"/>
                <w:lang w:val="en-US"/>
              </w:rPr>
            </w:pPr>
            <w:r w:rsidRPr="00FC75E4">
              <w:rPr>
                <w:rFonts w:ascii="Arial" w:hAnsi="Arial" w:cs="Arial"/>
                <w:lang w:val="en-US"/>
              </w:rPr>
              <w:t>38 dBm</w:t>
            </w:r>
          </w:p>
        </w:tc>
        <w:tc>
          <w:tcPr>
            <w:tcW w:w="2179" w:type="dxa"/>
          </w:tcPr>
          <w:p w14:paraId="3FB1A15B" w14:textId="14520988" w:rsidR="00FC75E4" w:rsidRPr="00FC75E4" w:rsidRDefault="00FC75E4" w:rsidP="00FC75E4">
            <w:pPr>
              <w:spacing w:after="0"/>
              <w:jc w:val="center"/>
              <w:rPr>
                <w:rFonts w:ascii="Arial" w:hAnsi="Arial" w:cs="Arial"/>
                <w:lang w:val="en-US"/>
              </w:rPr>
            </w:pPr>
            <w:r w:rsidRPr="00FC75E4">
              <w:rPr>
                <w:rFonts w:ascii="Arial" w:hAnsi="Arial" w:cs="Arial"/>
                <w:lang w:val="en-US"/>
              </w:rPr>
              <w:t>24 dBm</w:t>
            </w:r>
          </w:p>
        </w:tc>
      </w:tr>
      <w:tr w:rsidR="00DB78B8" w:rsidRPr="00E13DFA" w14:paraId="75DF0AD0" w14:textId="77777777" w:rsidTr="00DB78B8">
        <w:trPr>
          <w:jc w:val="center"/>
        </w:trPr>
        <w:tc>
          <w:tcPr>
            <w:tcW w:w="2943" w:type="dxa"/>
          </w:tcPr>
          <w:p w14:paraId="1B8B6FB2" w14:textId="752C7D66" w:rsidR="00FC75E4" w:rsidRDefault="00FC75E4" w:rsidP="00FC75E4">
            <w:pPr>
              <w:spacing w:after="0"/>
              <w:rPr>
                <w:rFonts w:ascii="Arial" w:hAnsi="Arial" w:cs="Arial"/>
                <w:b/>
                <w:lang w:val="en-US"/>
              </w:rPr>
            </w:pPr>
            <w:r>
              <w:rPr>
                <w:rFonts w:ascii="Arial" w:hAnsi="Arial" w:cs="Arial"/>
                <w:b/>
                <w:lang w:val="en-US"/>
              </w:rPr>
              <w:t>REFSENS</w:t>
            </w:r>
          </w:p>
        </w:tc>
        <w:tc>
          <w:tcPr>
            <w:tcW w:w="2179" w:type="dxa"/>
          </w:tcPr>
          <w:p w14:paraId="4F48D12F" w14:textId="0A2248C9" w:rsidR="00FC75E4" w:rsidRPr="00FC75E4" w:rsidRDefault="00FC75E4" w:rsidP="00FC75E4">
            <w:pPr>
              <w:spacing w:after="0"/>
              <w:jc w:val="center"/>
              <w:rPr>
                <w:rFonts w:ascii="Arial" w:hAnsi="Arial" w:cs="Arial"/>
                <w:lang w:val="en-US"/>
              </w:rPr>
            </w:pPr>
            <w:r>
              <w:rPr>
                <w:rFonts w:ascii="Arial" w:hAnsi="Arial" w:cs="Arial"/>
                <w:lang w:val="en-US"/>
              </w:rPr>
              <w:t>-95.3 dBm</w:t>
            </w:r>
          </w:p>
        </w:tc>
        <w:tc>
          <w:tcPr>
            <w:tcW w:w="2192" w:type="dxa"/>
          </w:tcPr>
          <w:p w14:paraId="378DE9E4" w14:textId="52EFE513" w:rsidR="00FC75E4" w:rsidRPr="00FC75E4" w:rsidRDefault="00FC75E4" w:rsidP="00FC75E4">
            <w:pPr>
              <w:spacing w:after="0"/>
              <w:jc w:val="center"/>
              <w:rPr>
                <w:rFonts w:ascii="Arial" w:hAnsi="Arial" w:cs="Arial"/>
                <w:lang w:val="en-US"/>
              </w:rPr>
            </w:pPr>
            <w:r>
              <w:rPr>
                <w:rFonts w:ascii="Arial" w:hAnsi="Arial" w:cs="Arial"/>
                <w:lang w:val="en-US"/>
              </w:rPr>
              <w:t>-90.3 dBm</w:t>
            </w:r>
          </w:p>
        </w:tc>
        <w:tc>
          <w:tcPr>
            <w:tcW w:w="2179" w:type="dxa"/>
          </w:tcPr>
          <w:p w14:paraId="5A52A64B" w14:textId="3F9A0459" w:rsidR="00FC75E4" w:rsidRPr="00FC75E4" w:rsidRDefault="00FC75E4" w:rsidP="00FC75E4">
            <w:pPr>
              <w:spacing w:after="0"/>
              <w:jc w:val="center"/>
              <w:rPr>
                <w:rFonts w:ascii="Arial" w:hAnsi="Arial" w:cs="Arial"/>
                <w:lang w:val="en-US"/>
              </w:rPr>
            </w:pPr>
            <w:r>
              <w:rPr>
                <w:rFonts w:ascii="Arial" w:hAnsi="Arial" w:cs="Arial"/>
                <w:lang w:val="en-US"/>
              </w:rPr>
              <w:t>-87.3 dBm</w:t>
            </w:r>
          </w:p>
        </w:tc>
      </w:tr>
      <w:tr w:rsidR="00DB78B8" w:rsidRPr="00E13DFA" w14:paraId="7E1AC711" w14:textId="42CE6E6F" w:rsidTr="00DB78B8">
        <w:trPr>
          <w:jc w:val="center"/>
        </w:trPr>
        <w:tc>
          <w:tcPr>
            <w:tcW w:w="2943" w:type="dxa"/>
          </w:tcPr>
          <w:p w14:paraId="74868C74" w14:textId="2063481E" w:rsidR="00FC75E4" w:rsidRPr="00DB78B8" w:rsidRDefault="00FC75E4" w:rsidP="00FC75E4">
            <w:pPr>
              <w:spacing w:after="0"/>
              <w:rPr>
                <w:rFonts w:ascii="Arial" w:hAnsi="Arial" w:cs="Arial"/>
                <w:b/>
                <w:lang w:val="en-US"/>
              </w:rPr>
            </w:pPr>
            <w:r w:rsidRPr="00DB78B8">
              <w:rPr>
                <w:rFonts w:ascii="Arial" w:hAnsi="Arial" w:cs="Arial"/>
                <w:b/>
                <w:lang w:val="en-US"/>
              </w:rPr>
              <w:t>REFSENS +6dB</w:t>
            </w:r>
          </w:p>
        </w:tc>
        <w:tc>
          <w:tcPr>
            <w:tcW w:w="2179" w:type="dxa"/>
          </w:tcPr>
          <w:p w14:paraId="3D56973C" w14:textId="0C7C0AE1" w:rsidR="00FC75E4" w:rsidRPr="00FC75E4" w:rsidRDefault="00FC75E4" w:rsidP="00FC75E4">
            <w:pPr>
              <w:spacing w:after="0"/>
              <w:jc w:val="center"/>
              <w:rPr>
                <w:rFonts w:ascii="Arial" w:hAnsi="Arial" w:cs="Arial"/>
                <w:lang w:val="en-US"/>
              </w:rPr>
            </w:pPr>
            <w:r w:rsidRPr="00FC75E4">
              <w:rPr>
                <w:rFonts w:ascii="Arial" w:hAnsi="Arial" w:cs="Arial"/>
                <w:lang w:val="en-US"/>
              </w:rPr>
              <w:t>-</w:t>
            </w:r>
            <w:r>
              <w:rPr>
                <w:rFonts w:ascii="Arial" w:hAnsi="Arial" w:cs="Arial"/>
                <w:lang w:val="en-US"/>
              </w:rPr>
              <w:t>89</w:t>
            </w:r>
            <w:r w:rsidRPr="00FC75E4">
              <w:rPr>
                <w:rFonts w:ascii="Arial" w:hAnsi="Arial" w:cs="Arial"/>
                <w:lang w:val="en-US"/>
              </w:rPr>
              <w:t>.3 dBm</w:t>
            </w:r>
          </w:p>
        </w:tc>
        <w:tc>
          <w:tcPr>
            <w:tcW w:w="2192" w:type="dxa"/>
          </w:tcPr>
          <w:p w14:paraId="3DF4B4F6" w14:textId="3429D935" w:rsidR="00FC75E4" w:rsidRPr="00FC75E4" w:rsidRDefault="00FC75E4" w:rsidP="00FC75E4">
            <w:pPr>
              <w:spacing w:after="0"/>
              <w:jc w:val="center"/>
              <w:rPr>
                <w:rFonts w:ascii="Arial" w:hAnsi="Arial" w:cs="Arial"/>
                <w:lang w:val="en-US"/>
              </w:rPr>
            </w:pPr>
            <w:r w:rsidRPr="00FC75E4">
              <w:rPr>
                <w:rFonts w:ascii="Arial" w:hAnsi="Arial" w:cs="Arial"/>
                <w:lang w:val="en-US"/>
              </w:rPr>
              <w:t>-8</w:t>
            </w:r>
            <w:r>
              <w:rPr>
                <w:rFonts w:ascii="Arial" w:hAnsi="Arial" w:cs="Arial"/>
                <w:lang w:val="en-US"/>
              </w:rPr>
              <w:t>4</w:t>
            </w:r>
            <w:r w:rsidRPr="00FC75E4">
              <w:rPr>
                <w:rFonts w:ascii="Arial" w:hAnsi="Arial" w:cs="Arial"/>
                <w:lang w:val="en-US"/>
              </w:rPr>
              <w:t>.3 dBm</w:t>
            </w:r>
          </w:p>
        </w:tc>
        <w:tc>
          <w:tcPr>
            <w:tcW w:w="2179" w:type="dxa"/>
          </w:tcPr>
          <w:p w14:paraId="6FCF04E0" w14:textId="2172EE76" w:rsidR="00FC75E4" w:rsidRPr="00FC75E4" w:rsidRDefault="00FC75E4" w:rsidP="00FC75E4">
            <w:pPr>
              <w:spacing w:after="0"/>
              <w:jc w:val="center"/>
              <w:rPr>
                <w:rFonts w:ascii="Arial" w:hAnsi="Arial" w:cs="Arial"/>
                <w:lang w:val="en-US"/>
              </w:rPr>
            </w:pPr>
            <w:r>
              <w:rPr>
                <w:rFonts w:ascii="Arial" w:hAnsi="Arial" w:cs="Arial"/>
                <w:lang w:val="en-US"/>
              </w:rPr>
              <w:t>-81.3 dBm</w:t>
            </w:r>
          </w:p>
        </w:tc>
      </w:tr>
      <w:tr w:rsidR="00DB78B8" w:rsidRPr="00E13DFA" w14:paraId="2AA4B35A" w14:textId="4410D4B2" w:rsidTr="00DB78B8">
        <w:trPr>
          <w:jc w:val="center"/>
        </w:trPr>
        <w:tc>
          <w:tcPr>
            <w:tcW w:w="2943" w:type="dxa"/>
          </w:tcPr>
          <w:p w14:paraId="6453CF49" w14:textId="5F07700D" w:rsidR="00FC75E4" w:rsidRPr="00DB78B8" w:rsidRDefault="00FC75E4" w:rsidP="00FC75E4">
            <w:pPr>
              <w:spacing w:after="0"/>
              <w:rPr>
                <w:rFonts w:ascii="Arial" w:hAnsi="Arial" w:cs="Arial"/>
                <w:b/>
                <w:lang w:val="en-US"/>
              </w:rPr>
            </w:pPr>
            <w:r w:rsidRPr="00DB78B8">
              <w:rPr>
                <w:rFonts w:ascii="Arial" w:hAnsi="Arial" w:cs="Arial"/>
                <w:b/>
                <w:lang w:val="en-US"/>
              </w:rPr>
              <w:t>ACIR</w:t>
            </w:r>
          </w:p>
        </w:tc>
        <w:tc>
          <w:tcPr>
            <w:tcW w:w="2179" w:type="dxa"/>
          </w:tcPr>
          <w:p w14:paraId="125878B7" w14:textId="35CFB7EC" w:rsidR="00FC75E4" w:rsidRPr="00FC75E4" w:rsidRDefault="00FC75E4" w:rsidP="00FC75E4">
            <w:pPr>
              <w:spacing w:after="0"/>
              <w:jc w:val="center"/>
              <w:rPr>
                <w:rFonts w:ascii="Arial" w:hAnsi="Arial" w:cs="Arial"/>
                <w:lang w:val="en-US"/>
              </w:rPr>
            </w:pPr>
            <w:r>
              <w:rPr>
                <w:rFonts w:ascii="Arial" w:hAnsi="Arial" w:cs="Arial"/>
                <w:lang w:val="en-US"/>
              </w:rPr>
              <w:t>41 dB</w:t>
            </w:r>
          </w:p>
        </w:tc>
        <w:tc>
          <w:tcPr>
            <w:tcW w:w="2192" w:type="dxa"/>
          </w:tcPr>
          <w:p w14:paraId="671BCCA2" w14:textId="07D4E371" w:rsidR="00FC75E4" w:rsidRPr="00FC75E4" w:rsidRDefault="00FC75E4" w:rsidP="00FC75E4">
            <w:pPr>
              <w:spacing w:after="0"/>
              <w:jc w:val="center"/>
              <w:rPr>
                <w:rFonts w:ascii="Arial" w:hAnsi="Arial" w:cs="Arial"/>
                <w:lang w:val="en-US"/>
              </w:rPr>
            </w:pPr>
            <w:r>
              <w:rPr>
                <w:rFonts w:ascii="Arial" w:hAnsi="Arial" w:cs="Arial"/>
                <w:lang w:val="en-US"/>
              </w:rPr>
              <w:t>41 dB</w:t>
            </w:r>
          </w:p>
        </w:tc>
        <w:tc>
          <w:tcPr>
            <w:tcW w:w="2179" w:type="dxa"/>
          </w:tcPr>
          <w:p w14:paraId="30865FFC" w14:textId="19601E52" w:rsidR="00FC75E4" w:rsidRPr="00FC75E4" w:rsidRDefault="00FC75E4" w:rsidP="00FC75E4">
            <w:pPr>
              <w:spacing w:after="0"/>
              <w:jc w:val="center"/>
              <w:rPr>
                <w:rFonts w:ascii="Arial" w:hAnsi="Arial" w:cs="Arial"/>
                <w:lang w:val="en-US"/>
              </w:rPr>
            </w:pPr>
            <w:r>
              <w:rPr>
                <w:rFonts w:ascii="Arial" w:hAnsi="Arial" w:cs="Arial"/>
                <w:lang w:val="en-US"/>
              </w:rPr>
              <w:t>41 dB</w:t>
            </w:r>
          </w:p>
        </w:tc>
      </w:tr>
      <w:tr w:rsidR="00DB78B8" w:rsidRPr="00E13DFA" w14:paraId="19BF9EBA" w14:textId="5F317302" w:rsidTr="00DB78B8">
        <w:trPr>
          <w:jc w:val="center"/>
        </w:trPr>
        <w:tc>
          <w:tcPr>
            <w:tcW w:w="2943" w:type="dxa"/>
          </w:tcPr>
          <w:p w14:paraId="0B814290" w14:textId="6231CF14" w:rsidR="00FC75E4" w:rsidRPr="00DB78B8" w:rsidRDefault="00FC75E4" w:rsidP="00FC75E4">
            <w:pPr>
              <w:spacing w:after="0"/>
              <w:rPr>
                <w:rFonts w:ascii="Arial" w:hAnsi="Arial" w:cs="Arial"/>
                <w:b/>
                <w:lang w:val="en-US"/>
              </w:rPr>
            </w:pPr>
            <w:r w:rsidRPr="00DB78B8">
              <w:rPr>
                <w:rFonts w:ascii="Arial" w:hAnsi="Arial" w:cs="Arial"/>
                <w:b/>
                <w:lang w:val="en-US"/>
              </w:rPr>
              <w:t>Max adjacent channel power</w:t>
            </w:r>
          </w:p>
        </w:tc>
        <w:tc>
          <w:tcPr>
            <w:tcW w:w="2179" w:type="dxa"/>
          </w:tcPr>
          <w:p w14:paraId="43A739CD" w14:textId="2A75B98B" w:rsidR="00FC75E4" w:rsidRPr="00FC75E4" w:rsidRDefault="00FC75E4" w:rsidP="00FC75E4">
            <w:pPr>
              <w:spacing w:after="0"/>
              <w:jc w:val="center"/>
              <w:rPr>
                <w:rFonts w:ascii="Arial" w:hAnsi="Arial" w:cs="Arial"/>
                <w:lang w:val="en-US"/>
              </w:rPr>
            </w:pPr>
            <w:r>
              <w:rPr>
                <w:rFonts w:ascii="Arial" w:hAnsi="Arial" w:cs="Arial"/>
                <w:lang w:val="en-US"/>
              </w:rPr>
              <w:t>-48.3 dBm</w:t>
            </w:r>
          </w:p>
        </w:tc>
        <w:tc>
          <w:tcPr>
            <w:tcW w:w="2192" w:type="dxa"/>
          </w:tcPr>
          <w:p w14:paraId="01614E5C" w14:textId="6B0DA213" w:rsidR="00FC75E4" w:rsidRPr="00FC75E4" w:rsidRDefault="00DB78B8" w:rsidP="00FC75E4">
            <w:pPr>
              <w:spacing w:after="0"/>
              <w:jc w:val="center"/>
              <w:rPr>
                <w:rFonts w:ascii="Arial" w:hAnsi="Arial" w:cs="Arial"/>
                <w:lang w:val="en-US"/>
              </w:rPr>
            </w:pPr>
            <w:r>
              <w:rPr>
                <w:rFonts w:ascii="Arial" w:hAnsi="Arial" w:cs="Arial"/>
                <w:lang w:val="en-US"/>
              </w:rPr>
              <w:t>-43.3 dBm</w:t>
            </w:r>
          </w:p>
        </w:tc>
        <w:tc>
          <w:tcPr>
            <w:tcW w:w="2179" w:type="dxa"/>
          </w:tcPr>
          <w:p w14:paraId="0D07CD95" w14:textId="5D791B68" w:rsidR="00FC75E4" w:rsidRPr="00FC75E4" w:rsidRDefault="00DB78B8" w:rsidP="00FC75E4">
            <w:pPr>
              <w:spacing w:after="0"/>
              <w:jc w:val="center"/>
              <w:rPr>
                <w:rFonts w:ascii="Arial" w:hAnsi="Arial" w:cs="Arial"/>
                <w:lang w:val="en-US"/>
              </w:rPr>
            </w:pPr>
            <w:r>
              <w:rPr>
                <w:rFonts w:ascii="Arial" w:hAnsi="Arial" w:cs="Arial"/>
                <w:lang w:val="en-US"/>
              </w:rPr>
              <w:t>-40.3 dBm</w:t>
            </w:r>
          </w:p>
        </w:tc>
      </w:tr>
      <w:tr w:rsidR="00DB78B8" w:rsidRPr="00DB78B8" w14:paraId="6B19C73F" w14:textId="77777777" w:rsidTr="00DB78B8">
        <w:trPr>
          <w:jc w:val="center"/>
        </w:trPr>
        <w:tc>
          <w:tcPr>
            <w:tcW w:w="2943" w:type="dxa"/>
          </w:tcPr>
          <w:p w14:paraId="0C5E9CA6" w14:textId="5D4EB14F" w:rsidR="00FC75E4" w:rsidRPr="00DB78B8" w:rsidRDefault="00DB78B8" w:rsidP="00FC75E4">
            <w:pPr>
              <w:spacing w:after="0"/>
              <w:rPr>
                <w:rFonts w:ascii="Arial" w:hAnsi="Arial" w:cs="Arial"/>
                <w:b/>
                <w:lang w:val="en-US"/>
              </w:rPr>
            </w:pPr>
            <w:r w:rsidRPr="00DB78B8">
              <w:rPr>
                <w:rFonts w:ascii="Arial" w:hAnsi="Arial" w:cs="Arial"/>
                <w:b/>
                <w:lang w:val="en-US"/>
              </w:rPr>
              <w:t>Minimum Coupling Loss</w:t>
            </w:r>
          </w:p>
        </w:tc>
        <w:tc>
          <w:tcPr>
            <w:tcW w:w="2179" w:type="dxa"/>
          </w:tcPr>
          <w:p w14:paraId="24AC3C00" w14:textId="10BA8818" w:rsidR="00FC75E4" w:rsidRPr="00DB78B8" w:rsidRDefault="00DB78B8" w:rsidP="00FC75E4">
            <w:pPr>
              <w:spacing w:after="0"/>
              <w:jc w:val="center"/>
              <w:rPr>
                <w:rFonts w:ascii="Arial" w:hAnsi="Arial" w:cs="Arial"/>
                <w:b/>
                <w:lang w:val="en-US"/>
              </w:rPr>
            </w:pPr>
            <w:r w:rsidRPr="00DB78B8">
              <w:rPr>
                <w:rFonts w:ascii="Arial" w:hAnsi="Arial" w:cs="Arial"/>
                <w:b/>
                <w:lang w:val="en-US"/>
              </w:rPr>
              <w:t>94.3 dB</w:t>
            </w:r>
          </w:p>
        </w:tc>
        <w:tc>
          <w:tcPr>
            <w:tcW w:w="2192" w:type="dxa"/>
          </w:tcPr>
          <w:p w14:paraId="7E8683DB" w14:textId="16B78E6D" w:rsidR="00FC75E4" w:rsidRPr="00DB78B8" w:rsidRDefault="00DB78B8" w:rsidP="00FC75E4">
            <w:pPr>
              <w:spacing w:after="0"/>
              <w:jc w:val="center"/>
              <w:rPr>
                <w:rFonts w:ascii="Arial" w:hAnsi="Arial" w:cs="Arial"/>
                <w:b/>
                <w:lang w:val="en-US"/>
              </w:rPr>
            </w:pPr>
            <w:r w:rsidRPr="00DB78B8">
              <w:rPr>
                <w:rFonts w:ascii="Arial" w:hAnsi="Arial" w:cs="Arial"/>
                <w:b/>
                <w:lang w:val="en-US"/>
              </w:rPr>
              <w:t>81.3 dB</w:t>
            </w:r>
          </w:p>
        </w:tc>
        <w:tc>
          <w:tcPr>
            <w:tcW w:w="2179" w:type="dxa"/>
          </w:tcPr>
          <w:p w14:paraId="097D656E" w14:textId="5986645E" w:rsidR="00FC75E4" w:rsidRPr="00DB78B8" w:rsidRDefault="00DB78B8" w:rsidP="00FC75E4">
            <w:pPr>
              <w:spacing w:after="0"/>
              <w:jc w:val="center"/>
              <w:rPr>
                <w:rFonts w:ascii="Arial" w:hAnsi="Arial" w:cs="Arial"/>
                <w:b/>
                <w:lang w:val="en-US"/>
              </w:rPr>
            </w:pPr>
            <w:r w:rsidRPr="00DB78B8">
              <w:rPr>
                <w:rFonts w:ascii="Arial" w:hAnsi="Arial" w:cs="Arial"/>
                <w:b/>
                <w:lang w:val="en-US"/>
              </w:rPr>
              <w:t>64.3 dB</w:t>
            </w:r>
          </w:p>
        </w:tc>
      </w:tr>
      <w:tr w:rsidR="00DB78B8" w:rsidRPr="00E13DFA" w14:paraId="2A6134E2" w14:textId="77777777" w:rsidTr="00CC155F">
        <w:trPr>
          <w:jc w:val="center"/>
        </w:trPr>
        <w:tc>
          <w:tcPr>
            <w:tcW w:w="9493" w:type="dxa"/>
            <w:gridSpan w:val="4"/>
          </w:tcPr>
          <w:p w14:paraId="36A890EB" w14:textId="009A3261" w:rsidR="00DB78B8" w:rsidRPr="00DB78B8" w:rsidRDefault="00DB78B8" w:rsidP="00DB78B8">
            <w:pPr>
              <w:spacing w:after="0"/>
              <w:rPr>
                <w:rFonts w:ascii="Arial" w:hAnsi="Arial" w:cs="Arial"/>
                <w:sz w:val="18"/>
                <w:szCs w:val="18"/>
                <w:lang w:val="en-US"/>
              </w:rPr>
            </w:pPr>
            <w:r>
              <w:rPr>
                <w:rFonts w:ascii="Arial" w:hAnsi="Arial" w:cs="Arial"/>
                <w:sz w:val="18"/>
                <w:szCs w:val="18"/>
                <w:lang w:val="en-US"/>
              </w:rPr>
              <w:t>NOTE</w:t>
            </w:r>
            <w:r w:rsidRPr="00DB78B8">
              <w:rPr>
                <w:rFonts w:ascii="Arial" w:hAnsi="Arial" w:cs="Arial"/>
                <w:sz w:val="18"/>
                <w:szCs w:val="18"/>
                <w:lang w:val="en-US"/>
              </w:rPr>
              <w:t>:</w:t>
            </w:r>
            <w:r>
              <w:rPr>
                <w:rFonts w:ascii="Arial" w:hAnsi="Arial" w:cs="Arial"/>
                <w:sz w:val="18"/>
                <w:szCs w:val="18"/>
                <w:lang w:val="en-US"/>
              </w:rPr>
              <w:t xml:space="preserve"> There is no upper limit for Wide Area base station output power</w:t>
            </w:r>
            <w:r w:rsidR="00721417">
              <w:rPr>
                <w:rFonts w:ascii="Arial" w:hAnsi="Arial" w:cs="Arial"/>
                <w:sz w:val="18"/>
                <w:szCs w:val="18"/>
                <w:lang w:val="en-US"/>
              </w:rPr>
              <w:t xml:space="preserve">, </w:t>
            </w:r>
            <w:r w:rsidR="00A16B64">
              <w:rPr>
                <w:rFonts w:ascii="Arial" w:hAnsi="Arial" w:cs="Arial"/>
                <w:sz w:val="18"/>
                <w:szCs w:val="18"/>
                <w:lang w:val="en-US"/>
              </w:rPr>
              <w:t xml:space="preserve">this </w:t>
            </w:r>
            <w:r w:rsidR="00782875">
              <w:rPr>
                <w:rFonts w:ascii="Arial" w:hAnsi="Arial" w:cs="Arial"/>
                <w:sz w:val="18"/>
                <w:szCs w:val="18"/>
                <w:lang w:val="en-US"/>
              </w:rPr>
              <w:t>ana</w:t>
            </w:r>
            <w:r w:rsidR="007A47C8">
              <w:rPr>
                <w:rFonts w:ascii="Arial" w:hAnsi="Arial" w:cs="Arial"/>
                <w:sz w:val="18"/>
                <w:szCs w:val="18"/>
                <w:lang w:val="en-US"/>
              </w:rPr>
              <w:t>l</w:t>
            </w:r>
            <w:r w:rsidR="00782875">
              <w:rPr>
                <w:rFonts w:ascii="Arial" w:hAnsi="Arial" w:cs="Arial"/>
                <w:sz w:val="18"/>
                <w:szCs w:val="18"/>
                <w:lang w:val="en-US"/>
              </w:rPr>
              <w:t>ysis</w:t>
            </w:r>
            <w:r w:rsidR="00721417">
              <w:rPr>
                <w:rFonts w:ascii="Arial" w:hAnsi="Arial" w:cs="Arial"/>
                <w:sz w:val="18"/>
                <w:szCs w:val="18"/>
                <w:lang w:val="en-US"/>
              </w:rPr>
              <w:t xml:space="preserve"> is based on 46 dBm conducted power.</w:t>
            </w:r>
          </w:p>
        </w:tc>
      </w:tr>
    </w:tbl>
    <w:p w14:paraId="25E31342" w14:textId="77777777" w:rsidR="00E13DFA" w:rsidRDefault="00E13DFA" w:rsidP="00982464">
      <w:pPr>
        <w:rPr>
          <w:lang w:val="en-US"/>
        </w:rPr>
      </w:pPr>
    </w:p>
    <w:p w14:paraId="2E4FBB66" w14:textId="48DA71E8" w:rsidR="00A15FBF" w:rsidRDefault="005A3D67" w:rsidP="00982464">
      <w:pPr>
        <w:rPr>
          <w:lang w:val="en-US"/>
        </w:rPr>
      </w:pPr>
      <w:r w:rsidRPr="005A3D67">
        <w:rPr>
          <w:u w:val="single"/>
          <w:lang w:val="en-US"/>
        </w:rPr>
        <w:t>Co-location:</w:t>
      </w:r>
      <w:r>
        <w:rPr>
          <w:lang w:val="en-US"/>
        </w:rPr>
        <w:t xml:space="preserve"> </w:t>
      </w:r>
      <w:r w:rsidR="00A15FBF">
        <w:rPr>
          <w:lang w:val="en-US"/>
        </w:rPr>
        <w:t>Typically</w:t>
      </w:r>
      <w:r w:rsidR="00562498">
        <w:rPr>
          <w:lang w:val="en-US"/>
        </w:rPr>
        <w:t>,</w:t>
      </w:r>
      <w:bookmarkStart w:id="2" w:name="_GoBack"/>
      <w:bookmarkEnd w:id="2"/>
      <w:r w:rsidR="00A15FBF">
        <w:rPr>
          <w:lang w:val="en-US"/>
        </w:rPr>
        <w:t xml:space="preserve"> FR1 co-location requirements assume 30 dB antenna isolation (between the antenna connectors).</w:t>
      </w:r>
      <w:r w:rsidR="00DB78B8">
        <w:rPr>
          <w:lang w:val="en-US"/>
        </w:rPr>
        <w:t xml:space="preserve"> For macro layer co-location, more than 64 dB of isolation is missing. No co-location solution is feasible with any base station class using </w:t>
      </w:r>
      <w:r w:rsidR="00AF14A0">
        <w:rPr>
          <w:lang w:val="en-US"/>
        </w:rPr>
        <w:t xml:space="preserve">the </w:t>
      </w:r>
      <w:r w:rsidR="00DB78B8">
        <w:rPr>
          <w:lang w:val="en-US"/>
        </w:rPr>
        <w:t>existing RAN4 minimum requirements on FR1.</w:t>
      </w:r>
      <w:r>
        <w:rPr>
          <w:lang w:val="en-US"/>
        </w:rPr>
        <w:t xml:space="preserve"> </w:t>
      </w:r>
      <w:r w:rsidR="00D86BF8">
        <w:rPr>
          <w:lang w:val="en-US"/>
        </w:rPr>
        <w:t>For co-location, t</w:t>
      </w:r>
      <w:r>
        <w:rPr>
          <w:lang w:val="en-US"/>
        </w:rPr>
        <w:t xml:space="preserve">he ACIR values that would be required for 6 dB receiver desense are </w:t>
      </w:r>
      <w:r w:rsidR="00782875" w:rsidRPr="00782875">
        <w:rPr>
          <w:lang w:val="en-US"/>
        </w:rPr>
        <w:t>105.3</w:t>
      </w:r>
      <w:r w:rsidR="00D86BF8" w:rsidRPr="00782875">
        <w:rPr>
          <w:lang w:val="en-US"/>
        </w:rPr>
        <w:t xml:space="preserve"> dB, </w:t>
      </w:r>
      <w:r w:rsidR="00782875" w:rsidRPr="00782875">
        <w:rPr>
          <w:lang w:val="en-US"/>
        </w:rPr>
        <w:t>92.3</w:t>
      </w:r>
      <w:r w:rsidR="00D86BF8" w:rsidRPr="00782875">
        <w:rPr>
          <w:lang w:val="en-US"/>
        </w:rPr>
        <w:t xml:space="preserve"> dB, </w:t>
      </w:r>
      <w:r w:rsidR="00782875" w:rsidRPr="00782875">
        <w:rPr>
          <w:lang w:val="en-US"/>
        </w:rPr>
        <w:t>and 75.3</w:t>
      </w:r>
      <w:r w:rsidR="00D86BF8" w:rsidRPr="00782875">
        <w:rPr>
          <w:lang w:val="en-US"/>
        </w:rPr>
        <w:t xml:space="preserve"> dB for</w:t>
      </w:r>
      <w:r w:rsidR="00D86BF8">
        <w:rPr>
          <w:lang w:val="en-US"/>
        </w:rPr>
        <w:t xml:space="preserve"> Wide Area, Medium Range, and Local Area base station respectively.</w:t>
      </w:r>
      <w:r w:rsidR="00782875">
        <w:rPr>
          <w:lang w:val="en-US"/>
        </w:rPr>
        <w:t xml:space="preserve"> Further, the actual receiver desense should be significantly smaller than 6 dB in order to maintain the cell coverage area, indicating higher ACIR or isolation needs.</w:t>
      </w:r>
    </w:p>
    <w:p w14:paraId="44011F3F" w14:textId="75489FBF" w:rsidR="008F463D" w:rsidRDefault="008F463D" w:rsidP="008F463D">
      <w:pPr>
        <w:rPr>
          <w:b/>
          <w:lang w:val="en-US"/>
        </w:rPr>
      </w:pPr>
      <w:r>
        <w:rPr>
          <w:b/>
          <w:lang w:val="en-US"/>
        </w:rPr>
        <w:t xml:space="preserve">Observation 1: Current RAN4 minimum RF requirements do not </w:t>
      </w:r>
      <w:r w:rsidR="002F0018">
        <w:rPr>
          <w:b/>
          <w:lang w:val="en-US"/>
        </w:rPr>
        <w:t xml:space="preserve">guarantee </w:t>
      </w:r>
      <w:r w:rsidR="007120DD">
        <w:rPr>
          <w:b/>
          <w:lang w:val="en-US"/>
        </w:rPr>
        <w:t>dynamic TDD</w:t>
      </w:r>
      <w:r>
        <w:rPr>
          <w:b/>
          <w:lang w:val="en-US"/>
        </w:rPr>
        <w:t xml:space="preserve"> base station co-location on FR1.</w:t>
      </w:r>
    </w:p>
    <w:p w14:paraId="7DF88ACD" w14:textId="040EFF7E" w:rsidR="00DB78B8" w:rsidRDefault="005A3D67" w:rsidP="00982464">
      <w:pPr>
        <w:rPr>
          <w:lang w:val="en-US"/>
        </w:rPr>
      </w:pPr>
      <w:r w:rsidRPr="005A3D67">
        <w:rPr>
          <w:u w:val="single"/>
          <w:lang w:val="en-US"/>
        </w:rPr>
        <w:t>Co-existence:</w:t>
      </w:r>
      <w:r>
        <w:rPr>
          <w:lang w:val="en-US"/>
        </w:rPr>
        <w:t xml:space="preserve"> </w:t>
      </w:r>
      <w:r w:rsidR="00DB78B8">
        <w:rPr>
          <w:lang w:val="en-US"/>
        </w:rPr>
        <w:t xml:space="preserve">The </w:t>
      </w:r>
      <w:r w:rsidR="00AF14A0">
        <w:rPr>
          <w:lang w:val="en-US"/>
        </w:rPr>
        <w:t xml:space="preserve">ECC Report 281 [2] </w:t>
      </w:r>
      <w:r w:rsidR="00CA5455">
        <w:rPr>
          <w:lang w:val="en-US"/>
        </w:rPr>
        <w:t xml:space="preserve">shows study results on adjacent channel co-existence of unsynchronized macro deployments at 3.4 to 3.8 GHz frequency range. Two network geometries were studied: </w:t>
      </w:r>
      <w:r w:rsidR="009A70AA">
        <w:rPr>
          <w:lang w:val="en-US"/>
        </w:rPr>
        <w:t xml:space="preserve">hexagonal grid with </w:t>
      </w:r>
      <w:proofErr w:type="gramStart"/>
      <w:r w:rsidR="009A70AA">
        <w:rPr>
          <w:lang w:val="en-US"/>
        </w:rPr>
        <w:t>500 meter</w:t>
      </w:r>
      <w:proofErr w:type="gramEnd"/>
      <w:r w:rsidR="009A70AA">
        <w:rPr>
          <w:lang w:val="en-US"/>
        </w:rPr>
        <w:t xml:space="preserve"> inter-site distance, with one of the networks shifted by </w:t>
      </w:r>
      <w:r w:rsidR="00CA5455">
        <w:rPr>
          <w:lang w:val="en-US"/>
        </w:rPr>
        <w:t>70 meter</w:t>
      </w:r>
      <w:r w:rsidR="009A70AA">
        <w:rPr>
          <w:lang w:val="en-US"/>
        </w:rPr>
        <w:t>s or</w:t>
      </w:r>
      <w:r w:rsidR="00CA5455">
        <w:rPr>
          <w:lang w:val="en-US"/>
        </w:rPr>
        <w:t xml:space="preserve"> 288 meter</w:t>
      </w:r>
      <w:r w:rsidR="009A70AA">
        <w:rPr>
          <w:lang w:val="en-US"/>
        </w:rPr>
        <w:t>s.</w:t>
      </w:r>
      <w:r>
        <w:rPr>
          <w:lang w:val="en-US"/>
        </w:rPr>
        <w:t xml:space="preserve"> The results indicate that around 75 to 85 dB ACIR would be required </w:t>
      </w:r>
      <w:r w:rsidR="00D86BF8">
        <w:rPr>
          <w:lang w:val="en-US"/>
        </w:rPr>
        <w:t xml:space="preserve">to keep UL throughput </w:t>
      </w:r>
      <w:r w:rsidR="007120DD">
        <w:rPr>
          <w:lang w:val="en-US"/>
        </w:rPr>
        <w:t>loss at a low level (0 to 10%).</w:t>
      </w:r>
    </w:p>
    <w:p w14:paraId="672B4AB4" w14:textId="7E256A4E" w:rsidR="008F463D" w:rsidRPr="008F463D" w:rsidRDefault="008F463D" w:rsidP="00982464">
      <w:pPr>
        <w:rPr>
          <w:b/>
          <w:lang w:val="en-US"/>
        </w:rPr>
      </w:pPr>
      <w:r>
        <w:rPr>
          <w:b/>
          <w:lang w:val="en-US"/>
        </w:rPr>
        <w:t xml:space="preserve">Observation 2: Current RAN4 minimum RF requirements do not </w:t>
      </w:r>
      <w:r w:rsidR="002F0018">
        <w:rPr>
          <w:b/>
          <w:lang w:val="en-US"/>
        </w:rPr>
        <w:t xml:space="preserve">guarantee </w:t>
      </w:r>
      <w:r w:rsidR="00013683">
        <w:rPr>
          <w:b/>
          <w:lang w:val="en-US"/>
        </w:rPr>
        <w:t xml:space="preserve">dynamic TDD </w:t>
      </w:r>
      <w:r w:rsidR="007120DD">
        <w:rPr>
          <w:b/>
          <w:lang w:val="en-US"/>
        </w:rPr>
        <w:t xml:space="preserve">co-existence </w:t>
      </w:r>
      <w:r w:rsidR="00013683">
        <w:rPr>
          <w:b/>
          <w:lang w:val="en-US"/>
        </w:rPr>
        <w:t xml:space="preserve">in </w:t>
      </w:r>
      <w:r>
        <w:rPr>
          <w:b/>
          <w:lang w:val="en-US"/>
        </w:rPr>
        <w:t xml:space="preserve">macro </w:t>
      </w:r>
      <w:r w:rsidR="00013683">
        <w:rPr>
          <w:b/>
          <w:lang w:val="en-US"/>
        </w:rPr>
        <w:t>deployments</w:t>
      </w:r>
      <w:r w:rsidR="007120DD">
        <w:rPr>
          <w:b/>
          <w:lang w:val="en-US"/>
        </w:rPr>
        <w:t xml:space="preserve"> on FR1</w:t>
      </w:r>
      <w:r w:rsidR="00013683">
        <w:rPr>
          <w:b/>
          <w:lang w:val="en-US"/>
        </w:rPr>
        <w:t>.</w:t>
      </w:r>
    </w:p>
    <w:p w14:paraId="3E4420B1" w14:textId="77D7721C" w:rsidR="008F463D" w:rsidRDefault="00782875" w:rsidP="00982464">
      <w:pPr>
        <w:rPr>
          <w:lang w:val="en-US"/>
        </w:rPr>
      </w:pPr>
      <w:r>
        <w:rPr>
          <w:lang w:val="en-US"/>
        </w:rPr>
        <w:t>Based on the observations</w:t>
      </w:r>
      <w:r w:rsidR="007120DD">
        <w:rPr>
          <w:lang w:val="en-US"/>
        </w:rPr>
        <w:t>, a possible solution for dynamic TDD are Local Area base stations, possibly deployed indoors. Indoor deployment may allow sufficient isolation to the macro layer due to path and wall penetration losses. Due to the lower output power of a small base station compared to macro, if the small base station does not suffer from significant adjacent channel interference, it should also not generate significant interference to the macro base stations.</w:t>
      </w:r>
      <w:r w:rsidR="00DC7584">
        <w:rPr>
          <w:lang w:val="en-US"/>
        </w:rPr>
        <w:t xml:space="preserve"> Indoor co-existence between different networks may also be easier both due to smaller </w:t>
      </w:r>
      <w:r w:rsidR="00C944DE">
        <w:rPr>
          <w:lang w:val="en-US"/>
        </w:rPr>
        <w:t xml:space="preserve">required </w:t>
      </w:r>
      <w:r w:rsidR="00DC7584">
        <w:rPr>
          <w:lang w:val="en-US"/>
        </w:rPr>
        <w:t>MCL, and d</w:t>
      </w:r>
      <w:r w:rsidR="00C944DE">
        <w:rPr>
          <w:lang w:val="en-US"/>
        </w:rPr>
        <w:t>ue to higher expected UL margins as the UEs are typically close.</w:t>
      </w:r>
    </w:p>
    <w:p w14:paraId="47BCE4CF" w14:textId="5AFBCAFC" w:rsidR="00C944DE" w:rsidRDefault="00C944DE" w:rsidP="00982464">
      <w:pPr>
        <w:rPr>
          <w:b/>
          <w:lang w:val="en-US"/>
        </w:rPr>
      </w:pPr>
      <w:r>
        <w:rPr>
          <w:b/>
          <w:lang w:val="en-US"/>
        </w:rPr>
        <w:t xml:space="preserve">Observation 3: </w:t>
      </w:r>
      <w:r w:rsidR="002F0018">
        <w:rPr>
          <w:b/>
          <w:lang w:val="en-US"/>
        </w:rPr>
        <w:t xml:space="preserve">Current RAN4 minimum RF requirements may be </w:t>
      </w:r>
      <w:proofErr w:type="gramStart"/>
      <w:r w:rsidR="002F0018">
        <w:rPr>
          <w:b/>
          <w:lang w:val="en-US"/>
        </w:rPr>
        <w:t>sufficient</w:t>
      </w:r>
      <w:proofErr w:type="gramEnd"/>
      <w:r w:rsidR="002F0018">
        <w:rPr>
          <w:b/>
          <w:lang w:val="en-US"/>
        </w:rPr>
        <w:t xml:space="preserve"> to facilitate d</w:t>
      </w:r>
      <w:r>
        <w:rPr>
          <w:b/>
          <w:lang w:val="en-US"/>
        </w:rPr>
        <w:t xml:space="preserve">ynamic TDD adjacent channel co-existence in indoor deployment on FR1 (macro/indoor and indoor/indoor). </w:t>
      </w:r>
    </w:p>
    <w:p w14:paraId="0D462620" w14:textId="307F08BC" w:rsidR="00F67501" w:rsidRDefault="00F67501" w:rsidP="00982464">
      <w:pPr>
        <w:rPr>
          <w:lang w:val="en-US"/>
        </w:rPr>
      </w:pPr>
      <w:r>
        <w:rPr>
          <w:lang w:val="en-US"/>
        </w:rPr>
        <w:t>On FR2, the higher propagation losses and beamforming aspects may reduce the likelihood of interference. Closely located base stations could have sufficient MCL if the antenna panels are arranged in a careful manner. The feasible deployment scenarios may be different in FR2 compared to FR1.</w:t>
      </w:r>
    </w:p>
    <w:p w14:paraId="54B2AB1F" w14:textId="4E154AA7" w:rsidR="00F67501" w:rsidRPr="00F67501" w:rsidRDefault="00F67501" w:rsidP="00982464">
      <w:pPr>
        <w:rPr>
          <w:lang w:val="en-US"/>
        </w:rPr>
      </w:pPr>
      <w:r>
        <w:rPr>
          <w:lang w:val="en-US"/>
        </w:rPr>
        <w:t>Based on the above observations on BS-to-BS interference issues, we propose the following to progress the dynamic TDD work:</w:t>
      </w:r>
    </w:p>
    <w:p w14:paraId="7ADF51B2" w14:textId="29EA1E40" w:rsidR="008F463D" w:rsidRDefault="008F463D" w:rsidP="00982464">
      <w:pPr>
        <w:rPr>
          <w:b/>
          <w:lang w:val="en-US"/>
        </w:rPr>
      </w:pPr>
      <w:r>
        <w:rPr>
          <w:b/>
          <w:lang w:val="en-US"/>
        </w:rPr>
        <w:t>Proposal 1:</w:t>
      </w:r>
      <w:r w:rsidR="00F67501">
        <w:rPr>
          <w:b/>
          <w:lang w:val="en-US"/>
        </w:rPr>
        <w:t xml:space="preserve"> RAN4 shall study dynamic TDD scenarios which may facilitate </w:t>
      </w:r>
      <w:r w:rsidR="002F0018">
        <w:rPr>
          <w:b/>
          <w:lang w:val="en-US"/>
        </w:rPr>
        <w:t xml:space="preserve">sufficient </w:t>
      </w:r>
      <w:r w:rsidR="00F67501">
        <w:rPr>
          <w:b/>
          <w:lang w:val="en-US"/>
        </w:rPr>
        <w:t>BS-to-BS adjacent channel co</w:t>
      </w:r>
      <w:r w:rsidR="002F0018">
        <w:rPr>
          <w:b/>
          <w:lang w:val="en-US"/>
        </w:rPr>
        <w:t>-</w:t>
      </w:r>
      <w:r w:rsidR="00F67501">
        <w:rPr>
          <w:b/>
          <w:lang w:val="en-US"/>
        </w:rPr>
        <w:t>existence.</w:t>
      </w:r>
    </w:p>
    <w:p w14:paraId="15974449" w14:textId="516AAC31" w:rsidR="00A067D5" w:rsidRDefault="00A067D5" w:rsidP="00982464">
      <w:pPr>
        <w:rPr>
          <w:b/>
          <w:lang w:val="en-US"/>
        </w:rPr>
      </w:pPr>
      <w:r>
        <w:rPr>
          <w:b/>
          <w:lang w:val="en-US"/>
        </w:rPr>
        <w:t>Proposal 2: The following BS-to-BS scenarios are studied with priority:</w:t>
      </w:r>
    </w:p>
    <w:p w14:paraId="11754A3E" w14:textId="7EEF8AF0" w:rsidR="00A067D5" w:rsidRDefault="00A067D5" w:rsidP="000E41E5">
      <w:pPr>
        <w:pStyle w:val="ListParagraph"/>
        <w:numPr>
          <w:ilvl w:val="0"/>
          <w:numId w:val="8"/>
        </w:numPr>
        <w:rPr>
          <w:b/>
          <w:lang w:val="en-US"/>
        </w:rPr>
      </w:pPr>
      <w:r>
        <w:rPr>
          <w:b/>
          <w:lang w:val="en-US"/>
        </w:rPr>
        <w:t>FR1 outdoor wide area BS co-existence with indoor local area BS</w:t>
      </w:r>
    </w:p>
    <w:p w14:paraId="5FBDA919" w14:textId="1B7ACF61" w:rsidR="00A067D5" w:rsidRDefault="00A067D5" w:rsidP="000E41E5">
      <w:pPr>
        <w:pStyle w:val="ListParagraph"/>
        <w:numPr>
          <w:ilvl w:val="0"/>
          <w:numId w:val="8"/>
        </w:numPr>
        <w:rPr>
          <w:b/>
          <w:lang w:val="en-US"/>
        </w:rPr>
      </w:pPr>
      <w:r>
        <w:rPr>
          <w:b/>
          <w:lang w:val="en-US"/>
        </w:rPr>
        <w:t>FR1 co-existence between indoor local area BSs</w:t>
      </w:r>
    </w:p>
    <w:p w14:paraId="30F8BB03" w14:textId="63B6ECA0" w:rsidR="00A067D5" w:rsidRDefault="00A067D5" w:rsidP="000E41E5">
      <w:pPr>
        <w:pStyle w:val="ListParagraph"/>
        <w:numPr>
          <w:ilvl w:val="0"/>
          <w:numId w:val="8"/>
        </w:numPr>
        <w:rPr>
          <w:b/>
          <w:lang w:val="en-US"/>
        </w:rPr>
      </w:pPr>
      <w:r>
        <w:rPr>
          <w:b/>
          <w:lang w:val="en-US"/>
        </w:rPr>
        <w:t>FR2 co-existence between outdoor (wide area and/or medium range) BSs that are co-located or closely located</w:t>
      </w:r>
    </w:p>
    <w:p w14:paraId="7BA0ACE2" w14:textId="16043673" w:rsidR="00A067D5" w:rsidRPr="00A067D5" w:rsidRDefault="00A067D5" w:rsidP="00A067D5">
      <w:pPr>
        <w:rPr>
          <w:lang w:val="en-US"/>
        </w:rPr>
      </w:pPr>
      <w:r>
        <w:rPr>
          <w:lang w:val="en-US"/>
        </w:rPr>
        <w:t xml:space="preserve">Studies on other scenarios are not precluded and </w:t>
      </w:r>
      <w:r w:rsidR="00932D74">
        <w:rPr>
          <w:lang w:val="en-US"/>
        </w:rPr>
        <w:t xml:space="preserve">results </w:t>
      </w:r>
      <w:r>
        <w:rPr>
          <w:lang w:val="en-US"/>
        </w:rPr>
        <w:t>may be presented in RAN4.</w:t>
      </w:r>
    </w:p>
    <w:p w14:paraId="705EE903" w14:textId="7BA27A31" w:rsidR="00982464" w:rsidRPr="00982464" w:rsidRDefault="00982464" w:rsidP="00982464">
      <w:pPr>
        <w:pStyle w:val="Heading2"/>
        <w:rPr>
          <w:lang w:val="en-US"/>
        </w:rPr>
      </w:pPr>
      <w:r>
        <w:rPr>
          <w:lang w:val="en-US"/>
        </w:rPr>
        <w:t>2.2</w:t>
      </w:r>
      <w:r>
        <w:rPr>
          <w:lang w:val="en-US"/>
        </w:rPr>
        <w:tab/>
        <w:t>UE to UE interference (UL-to-DL)</w:t>
      </w:r>
    </w:p>
    <w:p w14:paraId="5A3050A2" w14:textId="5BAB5E14" w:rsidR="00782875" w:rsidRDefault="00782875" w:rsidP="00782875">
      <w:pPr>
        <w:rPr>
          <w:lang w:val="en-US"/>
        </w:rPr>
      </w:pPr>
      <w:r>
        <w:rPr>
          <w:lang w:val="en-US"/>
        </w:rPr>
        <w:t xml:space="preserve">For frequency ranges above 3.3 GHz on FR1, the NR UE ACLR requirement is 30 dB and the ACS requirement </w:t>
      </w:r>
      <w:r w:rsidRPr="00A15FBF">
        <w:t>3</w:t>
      </w:r>
      <w:r>
        <w:t>3 </w:t>
      </w:r>
      <w:r w:rsidRPr="00A15FBF">
        <w:t>dB</w:t>
      </w:r>
      <w:r>
        <w:t>, for a combined ACIR of roughly 28 dB</w:t>
      </w:r>
      <w:r>
        <w:rPr>
          <w:lang w:val="en-US"/>
        </w:rPr>
        <w:t xml:space="preserve">. The minimum coupling loss between UEs based on current RAN4 RF performance requirements are shown in Table </w:t>
      </w:r>
      <w:r w:rsidR="00484762">
        <w:rPr>
          <w:lang w:val="en-US"/>
        </w:rPr>
        <w:t>2, for 6 dB receiver desense</w:t>
      </w:r>
      <w:r>
        <w:rPr>
          <w:lang w:val="en-US"/>
        </w:rPr>
        <w:t>:</w:t>
      </w:r>
    </w:p>
    <w:p w14:paraId="72948196" w14:textId="598A4809" w:rsidR="00782875" w:rsidRPr="009A6A8B" w:rsidRDefault="00782875" w:rsidP="00782875">
      <w:pPr>
        <w:keepNext/>
        <w:jc w:val="center"/>
        <w:rPr>
          <w:b/>
          <w:lang w:val="en-US"/>
        </w:rPr>
      </w:pPr>
      <w:r>
        <w:rPr>
          <w:b/>
          <w:lang w:val="en-US"/>
        </w:rPr>
        <w:lastRenderedPageBreak/>
        <w:t xml:space="preserve">Table </w:t>
      </w:r>
      <w:r w:rsidR="00484762">
        <w:rPr>
          <w:b/>
          <w:lang w:val="en-US"/>
        </w:rPr>
        <w:t>2</w:t>
      </w:r>
      <w:r>
        <w:rPr>
          <w:b/>
          <w:lang w:val="en-US"/>
        </w:rPr>
        <w:t>: UE minimum coupling loss for 20 MHz channel bandwidth (6 dB desense)</w:t>
      </w:r>
    </w:p>
    <w:tbl>
      <w:tblPr>
        <w:tblStyle w:val="TableGrid"/>
        <w:tblW w:w="5122" w:type="dxa"/>
        <w:jc w:val="center"/>
        <w:tblLook w:val="04A0" w:firstRow="1" w:lastRow="0" w:firstColumn="1" w:lastColumn="0" w:noHBand="0" w:noVBand="1"/>
      </w:tblPr>
      <w:tblGrid>
        <w:gridCol w:w="2943"/>
        <w:gridCol w:w="2179"/>
      </w:tblGrid>
      <w:tr w:rsidR="00782875" w:rsidRPr="00E13DFA" w14:paraId="03447383" w14:textId="77777777" w:rsidTr="00782875">
        <w:trPr>
          <w:jc w:val="center"/>
        </w:trPr>
        <w:tc>
          <w:tcPr>
            <w:tcW w:w="2943" w:type="dxa"/>
          </w:tcPr>
          <w:p w14:paraId="463C5419" w14:textId="0597CBC1" w:rsidR="00782875" w:rsidRPr="00E13DFA" w:rsidRDefault="00782875" w:rsidP="00286D41">
            <w:pPr>
              <w:spacing w:after="0"/>
              <w:rPr>
                <w:rFonts w:ascii="Arial" w:hAnsi="Arial" w:cs="Arial"/>
                <w:b/>
                <w:lang w:val="en-US"/>
              </w:rPr>
            </w:pPr>
            <w:r>
              <w:rPr>
                <w:rFonts w:ascii="Arial" w:hAnsi="Arial" w:cs="Arial"/>
                <w:b/>
                <w:lang w:val="en-US"/>
              </w:rPr>
              <w:t>UE</w:t>
            </w:r>
            <w:r w:rsidRPr="00E13DFA">
              <w:rPr>
                <w:rFonts w:ascii="Arial" w:hAnsi="Arial" w:cs="Arial"/>
                <w:b/>
                <w:lang w:val="en-US"/>
              </w:rPr>
              <w:t xml:space="preserve"> </w:t>
            </w:r>
            <w:r>
              <w:rPr>
                <w:rFonts w:ascii="Arial" w:hAnsi="Arial" w:cs="Arial"/>
                <w:b/>
                <w:lang w:val="en-US"/>
              </w:rPr>
              <w:t>power</w:t>
            </w:r>
            <w:r w:rsidRPr="00E13DFA">
              <w:rPr>
                <w:rFonts w:ascii="Arial" w:hAnsi="Arial" w:cs="Arial"/>
                <w:b/>
                <w:lang w:val="en-US"/>
              </w:rPr>
              <w:t xml:space="preserve"> class</w:t>
            </w:r>
          </w:p>
        </w:tc>
        <w:tc>
          <w:tcPr>
            <w:tcW w:w="2179" w:type="dxa"/>
          </w:tcPr>
          <w:p w14:paraId="13731F9F" w14:textId="11F20CA2" w:rsidR="00782875" w:rsidRPr="00E13DFA" w:rsidRDefault="00782875" w:rsidP="00286D41">
            <w:pPr>
              <w:spacing w:after="0"/>
              <w:jc w:val="center"/>
              <w:rPr>
                <w:rFonts w:ascii="Arial" w:hAnsi="Arial" w:cs="Arial"/>
                <w:b/>
                <w:lang w:val="en-US"/>
              </w:rPr>
            </w:pPr>
            <w:r>
              <w:rPr>
                <w:rFonts w:ascii="Arial" w:hAnsi="Arial" w:cs="Arial"/>
                <w:b/>
                <w:lang w:val="en-US"/>
              </w:rPr>
              <w:t>3</w:t>
            </w:r>
          </w:p>
        </w:tc>
      </w:tr>
      <w:tr w:rsidR="00782875" w:rsidRPr="00E13DFA" w14:paraId="05AACBE5" w14:textId="77777777" w:rsidTr="00782875">
        <w:trPr>
          <w:jc w:val="center"/>
        </w:trPr>
        <w:tc>
          <w:tcPr>
            <w:tcW w:w="2943" w:type="dxa"/>
          </w:tcPr>
          <w:p w14:paraId="741028A7" w14:textId="77777777" w:rsidR="00782875" w:rsidRPr="00E13DFA" w:rsidRDefault="00782875" w:rsidP="00286D41">
            <w:pPr>
              <w:spacing w:after="0"/>
              <w:rPr>
                <w:rFonts w:ascii="Arial" w:hAnsi="Arial" w:cs="Arial"/>
                <w:b/>
                <w:lang w:val="en-US"/>
              </w:rPr>
            </w:pPr>
            <w:r>
              <w:rPr>
                <w:rFonts w:ascii="Arial" w:hAnsi="Arial" w:cs="Arial"/>
                <w:b/>
                <w:lang w:val="en-US"/>
              </w:rPr>
              <w:t>Conducted TX power</w:t>
            </w:r>
          </w:p>
        </w:tc>
        <w:tc>
          <w:tcPr>
            <w:tcW w:w="2179" w:type="dxa"/>
          </w:tcPr>
          <w:p w14:paraId="2AF47420" w14:textId="408EB72D" w:rsidR="00782875" w:rsidRPr="00FC75E4" w:rsidRDefault="00782875" w:rsidP="00286D41">
            <w:pPr>
              <w:spacing w:after="0"/>
              <w:jc w:val="center"/>
              <w:rPr>
                <w:rFonts w:ascii="Arial" w:hAnsi="Arial" w:cs="Arial"/>
                <w:lang w:val="en-US"/>
              </w:rPr>
            </w:pPr>
            <w:r>
              <w:rPr>
                <w:rFonts w:ascii="Arial" w:hAnsi="Arial" w:cs="Arial"/>
                <w:lang w:val="en-US"/>
              </w:rPr>
              <w:t>23</w:t>
            </w:r>
            <w:r w:rsidRPr="00FC75E4">
              <w:rPr>
                <w:rFonts w:ascii="Arial" w:hAnsi="Arial" w:cs="Arial"/>
                <w:lang w:val="en-US"/>
              </w:rPr>
              <w:t xml:space="preserve"> dBm</w:t>
            </w:r>
            <w:r>
              <w:rPr>
                <w:rFonts w:ascii="Arial" w:hAnsi="Arial" w:cs="Arial"/>
                <w:lang w:val="en-US"/>
              </w:rPr>
              <w:t xml:space="preserve"> (NOTE1)</w:t>
            </w:r>
          </w:p>
        </w:tc>
      </w:tr>
      <w:tr w:rsidR="00782875" w:rsidRPr="00E13DFA" w14:paraId="4C3B5D3C" w14:textId="77777777" w:rsidTr="00782875">
        <w:trPr>
          <w:jc w:val="center"/>
        </w:trPr>
        <w:tc>
          <w:tcPr>
            <w:tcW w:w="2943" w:type="dxa"/>
          </w:tcPr>
          <w:p w14:paraId="045CD37B" w14:textId="77777777" w:rsidR="00782875" w:rsidRDefault="00782875" w:rsidP="00286D41">
            <w:pPr>
              <w:spacing w:after="0"/>
              <w:rPr>
                <w:rFonts w:ascii="Arial" w:hAnsi="Arial" w:cs="Arial"/>
                <w:b/>
                <w:lang w:val="en-US"/>
              </w:rPr>
            </w:pPr>
            <w:r>
              <w:rPr>
                <w:rFonts w:ascii="Arial" w:hAnsi="Arial" w:cs="Arial"/>
                <w:b/>
                <w:lang w:val="en-US"/>
              </w:rPr>
              <w:t>REFSENS</w:t>
            </w:r>
          </w:p>
        </w:tc>
        <w:tc>
          <w:tcPr>
            <w:tcW w:w="2179" w:type="dxa"/>
          </w:tcPr>
          <w:p w14:paraId="7829CD81" w14:textId="7452CD44" w:rsidR="00782875" w:rsidRPr="00FC75E4" w:rsidRDefault="00782875" w:rsidP="00286D41">
            <w:pPr>
              <w:spacing w:after="0"/>
              <w:jc w:val="center"/>
              <w:rPr>
                <w:rFonts w:ascii="Arial" w:hAnsi="Arial" w:cs="Arial"/>
                <w:lang w:val="en-US"/>
              </w:rPr>
            </w:pPr>
            <w:r>
              <w:rPr>
                <w:rFonts w:ascii="Arial" w:hAnsi="Arial" w:cs="Arial"/>
                <w:lang w:val="en-US"/>
              </w:rPr>
              <w:t>-95.8 dBm (NOTE2)</w:t>
            </w:r>
          </w:p>
        </w:tc>
      </w:tr>
      <w:tr w:rsidR="00782875" w:rsidRPr="00E13DFA" w14:paraId="75C03276" w14:textId="77777777" w:rsidTr="00782875">
        <w:trPr>
          <w:jc w:val="center"/>
        </w:trPr>
        <w:tc>
          <w:tcPr>
            <w:tcW w:w="2943" w:type="dxa"/>
          </w:tcPr>
          <w:p w14:paraId="1C74B372" w14:textId="77777777" w:rsidR="00782875" w:rsidRPr="00DB78B8" w:rsidRDefault="00782875" w:rsidP="00286D41">
            <w:pPr>
              <w:spacing w:after="0"/>
              <w:rPr>
                <w:rFonts w:ascii="Arial" w:hAnsi="Arial" w:cs="Arial"/>
                <w:b/>
                <w:lang w:val="en-US"/>
              </w:rPr>
            </w:pPr>
            <w:r w:rsidRPr="00DB78B8">
              <w:rPr>
                <w:rFonts w:ascii="Arial" w:hAnsi="Arial" w:cs="Arial"/>
                <w:b/>
                <w:lang w:val="en-US"/>
              </w:rPr>
              <w:t>REFSENS +6dB</w:t>
            </w:r>
          </w:p>
        </w:tc>
        <w:tc>
          <w:tcPr>
            <w:tcW w:w="2179" w:type="dxa"/>
          </w:tcPr>
          <w:p w14:paraId="4414DE6D" w14:textId="4988C419" w:rsidR="00782875" w:rsidRPr="00FC75E4" w:rsidRDefault="00782875" w:rsidP="00286D41">
            <w:pPr>
              <w:spacing w:after="0"/>
              <w:jc w:val="center"/>
              <w:rPr>
                <w:rFonts w:ascii="Arial" w:hAnsi="Arial" w:cs="Arial"/>
                <w:lang w:val="en-US"/>
              </w:rPr>
            </w:pPr>
            <w:r w:rsidRPr="00FC75E4">
              <w:rPr>
                <w:rFonts w:ascii="Arial" w:hAnsi="Arial" w:cs="Arial"/>
                <w:lang w:val="en-US"/>
              </w:rPr>
              <w:t>-</w:t>
            </w:r>
            <w:r>
              <w:rPr>
                <w:rFonts w:ascii="Arial" w:hAnsi="Arial" w:cs="Arial"/>
                <w:lang w:val="en-US"/>
              </w:rPr>
              <w:t>89</w:t>
            </w:r>
            <w:r w:rsidRPr="00FC75E4">
              <w:rPr>
                <w:rFonts w:ascii="Arial" w:hAnsi="Arial" w:cs="Arial"/>
                <w:lang w:val="en-US"/>
              </w:rPr>
              <w:t>.</w:t>
            </w:r>
            <w:r>
              <w:rPr>
                <w:rFonts w:ascii="Arial" w:hAnsi="Arial" w:cs="Arial"/>
                <w:lang w:val="en-US"/>
              </w:rPr>
              <w:t>8</w:t>
            </w:r>
            <w:r w:rsidRPr="00FC75E4">
              <w:rPr>
                <w:rFonts w:ascii="Arial" w:hAnsi="Arial" w:cs="Arial"/>
                <w:lang w:val="en-US"/>
              </w:rPr>
              <w:t xml:space="preserve"> dBm</w:t>
            </w:r>
          </w:p>
        </w:tc>
      </w:tr>
      <w:tr w:rsidR="00782875" w:rsidRPr="00E13DFA" w14:paraId="7632EAE7" w14:textId="77777777" w:rsidTr="00782875">
        <w:trPr>
          <w:jc w:val="center"/>
        </w:trPr>
        <w:tc>
          <w:tcPr>
            <w:tcW w:w="2943" w:type="dxa"/>
          </w:tcPr>
          <w:p w14:paraId="695CD94B" w14:textId="77777777" w:rsidR="00782875" w:rsidRPr="00DB78B8" w:rsidRDefault="00782875" w:rsidP="00286D41">
            <w:pPr>
              <w:spacing w:after="0"/>
              <w:rPr>
                <w:rFonts w:ascii="Arial" w:hAnsi="Arial" w:cs="Arial"/>
                <w:b/>
                <w:lang w:val="en-US"/>
              </w:rPr>
            </w:pPr>
            <w:r w:rsidRPr="00DB78B8">
              <w:rPr>
                <w:rFonts w:ascii="Arial" w:hAnsi="Arial" w:cs="Arial"/>
                <w:b/>
                <w:lang w:val="en-US"/>
              </w:rPr>
              <w:t>ACIR</w:t>
            </w:r>
          </w:p>
        </w:tc>
        <w:tc>
          <w:tcPr>
            <w:tcW w:w="2179" w:type="dxa"/>
          </w:tcPr>
          <w:p w14:paraId="2A08F8F9" w14:textId="473AD090" w:rsidR="00782875" w:rsidRPr="00FC75E4" w:rsidRDefault="00484762" w:rsidP="00286D41">
            <w:pPr>
              <w:spacing w:after="0"/>
              <w:jc w:val="center"/>
              <w:rPr>
                <w:rFonts w:ascii="Arial" w:hAnsi="Arial" w:cs="Arial"/>
                <w:lang w:val="en-US"/>
              </w:rPr>
            </w:pPr>
            <w:r>
              <w:rPr>
                <w:rFonts w:ascii="Arial" w:hAnsi="Arial" w:cs="Arial"/>
                <w:lang w:val="en-US"/>
              </w:rPr>
              <w:t>28</w:t>
            </w:r>
            <w:r w:rsidR="00782875">
              <w:rPr>
                <w:rFonts w:ascii="Arial" w:hAnsi="Arial" w:cs="Arial"/>
                <w:lang w:val="en-US"/>
              </w:rPr>
              <w:t xml:space="preserve"> dB</w:t>
            </w:r>
            <w:r>
              <w:rPr>
                <w:rFonts w:ascii="Arial" w:hAnsi="Arial" w:cs="Arial"/>
                <w:lang w:val="en-US"/>
              </w:rPr>
              <w:t xml:space="preserve"> (NOTE3)</w:t>
            </w:r>
          </w:p>
        </w:tc>
      </w:tr>
      <w:tr w:rsidR="00782875" w:rsidRPr="00E13DFA" w14:paraId="043683B2" w14:textId="77777777" w:rsidTr="00782875">
        <w:trPr>
          <w:jc w:val="center"/>
        </w:trPr>
        <w:tc>
          <w:tcPr>
            <w:tcW w:w="2943" w:type="dxa"/>
          </w:tcPr>
          <w:p w14:paraId="1A6A9A21" w14:textId="77777777" w:rsidR="00782875" w:rsidRPr="00DB78B8" w:rsidRDefault="00782875" w:rsidP="00286D41">
            <w:pPr>
              <w:spacing w:after="0"/>
              <w:rPr>
                <w:rFonts w:ascii="Arial" w:hAnsi="Arial" w:cs="Arial"/>
                <w:b/>
                <w:lang w:val="en-US"/>
              </w:rPr>
            </w:pPr>
            <w:r w:rsidRPr="00DB78B8">
              <w:rPr>
                <w:rFonts w:ascii="Arial" w:hAnsi="Arial" w:cs="Arial"/>
                <w:b/>
                <w:lang w:val="en-US"/>
              </w:rPr>
              <w:t>Max adjacent channel power</w:t>
            </w:r>
          </w:p>
        </w:tc>
        <w:tc>
          <w:tcPr>
            <w:tcW w:w="2179" w:type="dxa"/>
          </w:tcPr>
          <w:p w14:paraId="06A7A15C" w14:textId="55C2DBEE" w:rsidR="00782875" w:rsidRPr="00FC75E4" w:rsidRDefault="00782875" w:rsidP="00286D41">
            <w:pPr>
              <w:spacing w:after="0"/>
              <w:jc w:val="center"/>
              <w:rPr>
                <w:rFonts w:ascii="Arial" w:hAnsi="Arial" w:cs="Arial"/>
                <w:lang w:val="en-US"/>
              </w:rPr>
            </w:pPr>
            <w:r>
              <w:rPr>
                <w:rFonts w:ascii="Arial" w:hAnsi="Arial" w:cs="Arial"/>
                <w:lang w:val="en-US"/>
              </w:rPr>
              <w:t>-</w:t>
            </w:r>
            <w:r w:rsidR="00484762">
              <w:rPr>
                <w:rFonts w:ascii="Arial" w:hAnsi="Arial" w:cs="Arial"/>
                <w:lang w:val="en-US"/>
              </w:rPr>
              <w:t>61.8</w:t>
            </w:r>
            <w:r>
              <w:rPr>
                <w:rFonts w:ascii="Arial" w:hAnsi="Arial" w:cs="Arial"/>
                <w:lang w:val="en-US"/>
              </w:rPr>
              <w:t xml:space="preserve"> dBm</w:t>
            </w:r>
          </w:p>
        </w:tc>
      </w:tr>
      <w:tr w:rsidR="00782875" w:rsidRPr="00DB78B8" w14:paraId="2682EB94" w14:textId="77777777" w:rsidTr="00782875">
        <w:trPr>
          <w:jc w:val="center"/>
        </w:trPr>
        <w:tc>
          <w:tcPr>
            <w:tcW w:w="2943" w:type="dxa"/>
          </w:tcPr>
          <w:p w14:paraId="3A66E48F" w14:textId="77777777" w:rsidR="00782875" w:rsidRPr="00DB78B8" w:rsidRDefault="00782875" w:rsidP="00286D41">
            <w:pPr>
              <w:spacing w:after="0"/>
              <w:rPr>
                <w:rFonts w:ascii="Arial" w:hAnsi="Arial" w:cs="Arial"/>
                <w:b/>
                <w:lang w:val="en-US"/>
              </w:rPr>
            </w:pPr>
            <w:r w:rsidRPr="00DB78B8">
              <w:rPr>
                <w:rFonts w:ascii="Arial" w:hAnsi="Arial" w:cs="Arial"/>
                <w:b/>
                <w:lang w:val="en-US"/>
              </w:rPr>
              <w:t>Minimum Coupling Loss</w:t>
            </w:r>
          </w:p>
        </w:tc>
        <w:tc>
          <w:tcPr>
            <w:tcW w:w="2179" w:type="dxa"/>
          </w:tcPr>
          <w:p w14:paraId="185B11D3" w14:textId="1CC2427C" w:rsidR="00782875" w:rsidRPr="00DB78B8" w:rsidRDefault="00484762" w:rsidP="00286D41">
            <w:pPr>
              <w:spacing w:after="0"/>
              <w:jc w:val="center"/>
              <w:rPr>
                <w:rFonts w:ascii="Arial" w:hAnsi="Arial" w:cs="Arial"/>
                <w:b/>
                <w:lang w:val="en-US"/>
              </w:rPr>
            </w:pPr>
            <w:r>
              <w:rPr>
                <w:rFonts w:ascii="Arial" w:hAnsi="Arial" w:cs="Arial"/>
                <w:b/>
                <w:lang w:val="en-US"/>
              </w:rPr>
              <w:t>8</w:t>
            </w:r>
            <w:r w:rsidR="00782875" w:rsidRPr="00DB78B8">
              <w:rPr>
                <w:rFonts w:ascii="Arial" w:hAnsi="Arial" w:cs="Arial"/>
                <w:b/>
                <w:lang w:val="en-US"/>
              </w:rPr>
              <w:t>4.</w:t>
            </w:r>
            <w:r>
              <w:rPr>
                <w:rFonts w:ascii="Arial" w:hAnsi="Arial" w:cs="Arial"/>
                <w:b/>
                <w:lang w:val="en-US"/>
              </w:rPr>
              <w:t>8</w:t>
            </w:r>
            <w:r w:rsidR="00782875" w:rsidRPr="00DB78B8">
              <w:rPr>
                <w:rFonts w:ascii="Arial" w:hAnsi="Arial" w:cs="Arial"/>
                <w:b/>
                <w:lang w:val="en-US"/>
              </w:rPr>
              <w:t xml:space="preserve"> dB</w:t>
            </w:r>
          </w:p>
        </w:tc>
      </w:tr>
      <w:tr w:rsidR="00484762" w:rsidRPr="00DB78B8" w14:paraId="63F6845E" w14:textId="77777777" w:rsidTr="0073246D">
        <w:trPr>
          <w:jc w:val="center"/>
        </w:trPr>
        <w:tc>
          <w:tcPr>
            <w:tcW w:w="5122" w:type="dxa"/>
            <w:gridSpan w:val="2"/>
          </w:tcPr>
          <w:p w14:paraId="603482BF" w14:textId="468CBAAE" w:rsidR="00484762" w:rsidRDefault="00484762" w:rsidP="00484762">
            <w:pPr>
              <w:tabs>
                <w:tab w:val="left" w:pos="744"/>
              </w:tabs>
              <w:spacing w:after="0"/>
              <w:ind w:left="744" w:hanging="744"/>
              <w:rPr>
                <w:rFonts w:ascii="Arial" w:hAnsi="Arial" w:cs="Arial"/>
                <w:sz w:val="18"/>
                <w:lang w:val="en-US"/>
              </w:rPr>
            </w:pPr>
            <w:r w:rsidRPr="00484762">
              <w:rPr>
                <w:rFonts w:ascii="Arial" w:hAnsi="Arial" w:cs="Arial"/>
                <w:sz w:val="18"/>
                <w:lang w:val="en-US"/>
              </w:rPr>
              <w:t>NOTE1:</w:t>
            </w:r>
            <w:r>
              <w:rPr>
                <w:lang w:val="en-US"/>
              </w:rPr>
              <w:tab/>
            </w:r>
            <w:r>
              <w:rPr>
                <w:rFonts w:ascii="Arial" w:hAnsi="Arial" w:cs="Arial"/>
                <w:sz w:val="18"/>
                <w:lang w:val="en-US"/>
              </w:rPr>
              <w:t>Output power will be affected by the modulation and resource allocation.</w:t>
            </w:r>
          </w:p>
          <w:p w14:paraId="20742736" w14:textId="77777777" w:rsidR="00484762" w:rsidRDefault="00484762" w:rsidP="00484762">
            <w:pPr>
              <w:tabs>
                <w:tab w:val="left" w:pos="744"/>
              </w:tabs>
              <w:spacing w:after="0"/>
              <w:ind w:left="744" w:hanging="744"/>
              <w:rPr>
                <w:rFonts w:ascii="Arial" w:hAnsi="Arial" w:cs="Arial"/>
                <w:sz w:val="18"/>
                <w:lang w:val="en-US"/>
              </w:rPr>
            </w:pPr>
            <w:r>
              <w:rPr>
                <w:rFonts w:ascii="Arial" w:hAnsi="Arial" w:cs="Arial"/>
                <w:sz w:val="18"/>
                <w:lang w:val="en-US"/>
              </w:rPr>
              <w:t>NOTE2:</w:t>
            </w:r>
            <w:r w:rsidRPr="00484762">
              <w:rPr>
                <w:rFonts w:ascii="Arial" w:hAnsi="Arial" w:cs="Arial"/>
                <w:sz w:val="18"/>
                <w:lang w:val="en-US"/>
              </w:rPr>
              <w:tab/>
              <w:t>Sens</w:t>
            </w:r>
            <w:r>
              <w:rPr>
                <w:rFonts w:ascii="Arial" w:hAnsi="Arial" w:cs="Arial"/>
                <w:sz w:val="18"/>
                <w:lang w:val="en-US"/>
              </w:rPr>
              <w:t>itivity depends on operating band and channel bandwidth.</w:t>
            </w:r>
          </w:p>
          <w:p w14:paraId="5D5A1578" w14:textId="5E53F321" w:rsidR="00484762" w:rsidRPr="00484762" w:rsidRDefault="00484762" w:rsidP="00484762">
            <w:pPr>
              <w:tabs>
                <w:tab w:val="left" w:pos="744"/>
              </w:tabs>
              <w:spacing w:after="0"/>
              <w:ind w:left="744" w:hanging="744"/>
              <w:rPr>
                <w:rFonts w:ascii="Arial" w:hAnsi="Arial" w:cs="Arial"/>
                <w:sz w:val="18"/>
                <w:lang w:val="en-US"/>
              </w:rPr>
            </w:pPr>
            <w:r w:rsidRPr="00484762">
              <w:rPr>
                <w:rFonts w:ascii="Arial" w:hAnsi="Arial" w:cs="Arial"/>
                <w:sz w:val="18"/>
                <w:lang w:val="en-US"/>
              </w:rPr>
              <w:t>NOTE</w:t>
            </w:r>
            <w:r>
              <w:rPr>
                <w:rFonts w:ascii="Arial" w:hAnsi="Arial" w:cs="Arial"/>
                <w:sz w:val="18"/>
                <w:lang w:val="en-US"/>
              </w:rPr>
              <w:t>3</w:t>
            </w:r>
            <w:r w:rsidRPr="00484762">
              <w:rPr>
                <w:rFonts w:ascii="Arial" w:hAnsi="Arial" w:cs="Arial"/>
                <w:sz w:val="18"/>
                <w:lang w:val="en-US"/>
              </w:rPr>
              <w:t>:</w:t>
            </w:r>
            <w:r>
              <w:rPr>
                <w:lang w:val="en-US"/>
              </w:rPr>
              <w:tab/>
            </w:r>
            <w:r>
              <w:rPr>
                <w:rFonts w:ascii="Arial" w:hAnsi="Arial" w:cs="Arial"/>
                <w:sz w:val="18"/>
                <w:lang w:val="en-US"/>
              </w:rPr>
              <w:t>ACLR (and therefore ACIR) will be affected by the aggressor UE output power and resource allocation.</w:t>
            </w:r>
          </w:p>
        </w:tc>
      </w:tr>
    </w:tbl>
    <w:p w14:paraId="03CFE498" w14:textId="1BD544DE" w:rsidR="0035582C" w:rsidRPr="00782875" w:rsidRDefault="0035582C" w:rsidP="001B494A"/>
    <w:p w14:paraId="5FBFBB68" w14:textId="58722A3B" w:rsidR="00782875" w:rsidRDefault="00484762" w:rsidP="001B494A">
      <w:pPr>
        <w:rPr>
          <w:lang w:val="en-US"/>
        </w:rPr>
      </w:pPr>
      <w:r>
        <w:rPr>
          <w:lang w:val="en-US"/>
        </w:rPr>
        <w:t xml:space="preserve">It can be noted that in the worst case, a large MCL is required to guarantee interference free operation between the adjacent channel UEs. </w:t>
      </w:r>
      <w:proofErr w:type="gramStart"/>
      <w:r>
        <w:rPr>
          <w:lang w:val="en-US"/>
        </w:rPr>
        <w:t>However</w:t>
      </w:r>
      <w:proofErr w:type="gramEnd"/>
      <w:r>
        <w:rPr>
          <w:lang w:val="en-US"/>
        </w:rPr>
        <w:t xml:space="preserve"> in typical cases, the adjacent channel unwanted emissions are significantly lower, as they depend on uplink resource configuration and output power. In many practical scenarios, it is likely that </w:t>
      </w:r>
      <w:r w:rsidR="00D944B1">
        <w:rPr>
          <w:lang w:val="en-US"/>
        </w:rPr>
        <w:t>receiver selectivity and blocking performance dominate</w:t>
      </w:r>
      <w:r w:rsidR="00F67501">
        <w:rPr>
          <w:lang w:val="en-US"/>
        </w:rPr>
        <w:t xml:space="preserve"> as the interference mechanism</w:t>
      </w:r>
      <w:r w:rsidR="00D944B1">
        <w:rPr>
          <w:lang w:val="en-US"/>
        </w:rPr>
        <w:t>.</w:t>
      </w:r>
    </w:p>
    <w:p w14:paraId="792E0D6F" w14:textId="7CEE75E4" w:rsidR="00D944B1" w:rsidRDefault="00F67501" w:rsidP="001B494A">
      <w:pPr>
        <w:rPr>
          <w:b/>
          <w:lang w:val="en-US"/>
        </w:rPr>
      </w:pPr>
      <w:r>
        <w:rPr>
          <w:b/>
          <w:lang w:val="en-US"/>
        </w:rPr>
        <w:t xml:space="preserve">Observation 4: Current RAN4 minimum RF requirements do not guarantee UE-to-UE </w:t>
      </w:r>
      <w:r w:rsidR="00673969">
        <w:rPr>
          <w:b/>
          <w:lang w:val="en-US"/>
        </w:rPr>
        <w:t xml:space="preserve">adjacent channel </w:t>
      </w:r>
      <w:r>
        <w:rPr>
          <w:b/>
          <w:lang w:val="en-US"/>
        </w:rPr>
        <w:t>co-existence with dynamic TDD</w:t>
      </w:r>
      <w:r w:rsidR="00E46CA7">
        <w:rPr>
          <w:b/>
          <w:lang w:val="en-US"/>
        </w:rPr>
        <w:t xml:space="preserve"> on FR1</w:t>
      </w:r>
      <w:r>
        <w:rPr>
          <w:b/>
          <w:lang w:val="en-US"/>
        </w:rPr>
        <w:t>.</w:t>
      </w:r>
    </w:p>
    <w:p w14:paraId="11861586" w14:textId="043E37AB" w:rsidR="00E46CA7" w:rsidRDefault="00E46CA7" w:rsidP="001B494A">
      <w:pPr>
        <w:rPr>
          <w:lang w:val="en-US"/>
        </w:rPr>
      </w:pPr>
      <w:r>
        <w:rPr>
          <w:lang w:val="en-US"/>
        </w:rPr>
        <w:t>On FR2, the likelihood of UE-to-UE interference maybe reduced compared to FR1, because of the higher propagation losses and potential UE TX beamforming.</w:t>
      </w:r>
    </w:p>
    <w:p w14:paraId="63DBCDE3" w14:textId="08A7192A" w:rsidR="00F67501" w:rsidRPr="00F67501" w:rsidRDefault="0084176E" w:rsidP="001B494A">
      <w:pPr>
        <w:rPr>
          <w:lang w:val="en-US"/>
        </w:rPr>
      </w:pPr>
      <w:r>
        <w:rPr>
          <w:lang w:val="en-US"/>
        </w:rPr>
        <w:t xml:space="preserve">While the UE-to-UE co-existence is not expected to be a major issue in dynamic TDD, at least compared to BS-to-BS co-existence, we think that scenarios which have high probability of such UE interference should be studied. The same scenarios outlined in Proposal 2 should also be evaluated from UE perspective. </w:t>
      </w:r>
      <w:r w:rsidR="00F67501">
        <w:rPr>
          <w:lang w:val="en-US"/>
        </w:rPr>
        <w:t>Based on th</w:t>
      </w:r>
      <w:r>
        <w:rPr>
          <w:lang w:val="en-US"/>
        </w:rPr>
        <w:t>is discussion</w:t>
      </w:r>
      <w:r w:rsidR="00F67501">
        <w:rPr>
          <w:lang w:val="en-US"/>
        </w:rPr>
        <w:t>, we propose the following:</w:t>
      </w:r>
    </w:p>
    <w:p w14:paraId="3FEB3E98" w14:textId="738AF449" w:rsidR="00A067D5" w:rsidRPr="000E41E5" w:rsidRDefault="00F67501" w:rsidP="0084176E">
      <w:pPr>
        <w:rPr>
          <w:b/>
          <w:lang w:val="en-US"/>
        </w:rPr>
      </w:pPr>
      <w:r>
        <w:rPr>
          <w:b/>
          <w:lang w:val="en-US"/>
        </w:rPr>
        <w:t xml:space="preserve">Proposal </w:t>
      </w:r>
      <w:r w:rsidR="00A067D5">
        <w:rPr>
          <w:b/>
          <w:lang w:val="en-US"/>
        </w:rPr>
        <w:t>3</w:t>
      </w:r>
      <w:r>
        <w:rPr>
          <w:b/>
          <w:lang w:val="en-US"/>
        </w:rPr>
        <w:t xml:space="preserve">: RAN4 shall study dynamic TDD scenarios which may facilitate </w:t>
      </w:r>
      <w:r w:rsidR="00A067D5">
        <w:rPr>
          <w:b/>
          <w:lang w:val="en-US"/>
        </w:rPr>
        <w:t xml:space="preserve">sufficient </w:t>
      </w:r>
      <w:r>
        <w:rPr>
          <w:b/>
          <w:lang w:val="en-US"/>
        </w:rPr>
        <w:t>UE-to-UE adjacent channel co</w:t>
      </w:r>
      <w:r w:rsidR="00A067D5">
        <w:rPr>
          <w:b/>
          <w:lang w:val="en-US"/>
        </w:rPr>
        <w:t>-</w:t>
      </w:r>
      <w:r>
        <w:rPr>
          <w:b/>
          <w:lang w:val="en-US"/>
        </w:rPr>
        <w:t>existence.</w:t>
      </w:r>
      <w:r w:rsidR="0084176E">
        <w:rPr>
          <w:b/>
          <w:lang w:val="en-US"/>
        </w:rPr>
        <w:t xml:space="preserve"> UE co-existence is evaluated in the same scenarios as outlined in Proposal 2 to give better understanding of dynamic TDD system performance.</w:t>
      </w:r>
    </w:p>
    <w:p w14:paraId="7162B3B1" w14:textId="350EA1D3" w:rsidR="00782875" w:rsidRDefault="00F67501" w:rsidP="00F67501">
      <w:pPr>
        <w:pStyle w:val="Heading2"/>
        <w:rPr>
          <w:lang w:val="en-US"/>
        </w:rPr>
      </w:pPr>
      <w:r>
        <w:rPr>
          <w:lang w:val="en-US"/>
        </w:rPr>
        <w:t>2.3</w:t>
      </w:r>
      <w:r>
        <w:rPr>
          <w:lang w:val="en-US"/>
        </w:rPr>
        <w:tab/>
        <w:t>Co-existence evaluation scenarios</w:t>
      </w:r>
    </w:p>
    <w:p w14:paraId="3C36927D" w14:textId="11F14AE8" w:rsidR="00F67501" w:rsidRDefault="00F67501" w:rsidP="001B494A">
      <w:pPr>
        <w:rPr>
          <w:lang w:val="en-US"/>
        </w:rPr>
      </w:pPr>
      <w:r>
        <w:rPr>
          <w:lang w:val="en-US"/>
        </w:rPr>
        <w:t>To minimize the study and simulation work, existing scenarios from e.g. HetNet and LAA/NR-U studies should be re-used as much as possible.</w:t>
      </w:r>
    </w:p>
    <w:p w14:paraId="70D366DE" w14:textId="6D398435" w:rsidR="00F67501" w:rsidRDefault="001B180D" w:rsidP="001B494A">
      <w:pPr>
        <w:rPr>
          <w:lang w:val="en-US"/>
        </w:rPr>
      </w:pPr>
      <w:r>
        <w:rPr>
          <w:lang w:val="en-US"/>
        </w:rPr>
        <w:t>Considering the indoor scenario, NR-U defines an office layout [3]</w:t>
      </w:r>
      <w:r w:rsidR="00E46CA7">
        <w:rPr>
          <w:lang w:val="en-US"/>
        </w:rPr>
        <w:t>. This is similar as the small cell enhancements study scenario #3 [4] but with two operators.</w:t>
      </w:r>
      <w:r w:rsidR="005472C5" w:rsidRPr="005472C5">
        <w:rPr>
          <w:lang w:val="en-US"/>
        </w:rPr>
        <w:t xml:space="preserve"> </w:t>
      </w:r>
      <w:r w:rsidR="005472C5">
        <w:rPr>
          <w:lang w:val="en-US"/>
        </w:rPr>
        <w:t>It is also similar to the indoor office layout presented in TR 38.901 [5] but has the two operators already included in the layout.</w:t>
      </w:r>
    </w:p>
    <w:p w14:paraId="18EAA323" w14:textId="2B488472" w:rsidR="00F67501" w:rsidRDefault="001B180D" w:rsidP="00E46CA7">
      <w:pPr>
        <w:keepNext/>
        <w:jc w:val="center"/>
        <w:rPr>
          <w:noProof/>
        </w:rPr>
      </w:pPr>
      <w:r>
        <w:rPr>
          <w:noProof/>
        </w:rPr>
        <w:fldChar w:fldCharType="begin"/>
      </w:r>
      <w:r>
        <w:rPr>
          <w:noProof/>
        </w:rPr>
        <w:instrText xml:space="preserve"> INCLUDEPICTURE  "cid:image001.png@01D3E3E6.8A8631F0" \* MERGEFORMATINET </w:instrText>
      </w:r>
      <w:r>
        <w:rPr>
          <w:noProof/>
        </w:rPr>
        <w:fldChar w:fldCharType="separate"/>
      </w:r>
      <w:r>
        <w:rPr>
          <w:noProof/>
        </w:rPr>
        <w:fldChar w:fldCharType="begin"/>
      </w:r>
      <w:r>
        <w:rPr>
          <w:noProof/>
        </w:rPr>
        <w:instrText xml:space="preserve"> INCLUDEPICTURE  "cid:image001.png@01D3E3E6.8A8631F0" \* MERGEFORMATINET </w:instrText>
      </w:r>
      <w:r>
        <w:rPr>
          <w:noProof/>
        </w:rPr>
        <w:fldChar w:fldCharType="separate"/>
      </w:r>
      <w:r>
        <w:rPr>
          <w:noProof/>
        </w:rPr>
        <w:drawing>
          <wp:inline distT="0" distB="0" distL="0" distR="0" wp14:anchorId="20B0DCCE" wp14:editId="3630A4D0">
            <wp:extent cx="2946188" cy="1413933"/>
            <wp:effectExtent l="0" t="0" r="0" b="0"/>
            <wp:docPr id="4" name="Picture 2" descr="cid:image001.png@01D3E3E6.8A8631F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cid:image001.png@01D3E3E6.8A8631F0"/>
                    <pic:cNvPicPr>
                      <a:picLocks/>
                    </pic:cNvPicPr>
                  </pic:nvPicPr>
                  <pic:blipFill>
                    <a:blip r:embed="rId13">
                      <a:extLst>
                        <a:ext uri="{28A0092B-C50C-407E-A947-70E740481C1C}">
                          <a14:useLocalDpi xmlns:a14="http://schemas.microsoft.com/office/drawing/2010/main" val="0"/>
                        </a:ext>
                      </a:extLst>
                    </a:blip>
                    <a:srcRect l="4929" t="10875" r="6067" b="11491"/>
                    <a:stretch>
                      <a:fillRect/>
                    </a:stretch>
                  </pic:blipFill>
                  <pic:spPr bwMode="auto">
                    <a:xfrm>
                      <a:off x="0" y="0"/>
                      <a:ext cx="2953450" cy="1417418"/>
                    </a:xfrm>
                    <a:prstGeom prst="rect">
                      <a:avLst/>
                    </a:prstGeom>
                    <a:noFill/>
                    <a:ln>
                      <a:noFill/>
                    </a:ln>
                  </pic:spPr>
                </pic:pic>
              </a:graphicData>
            </a:graphic>
          </wp:inline>
        </w:drawing>
      </w:r>
      <w:r>
        <w:rPr>
          <w:noProof/>
        </w:rPr>
        <w:fldChar w:fldCharType="end"/>
      </w:r>
      <w:r>
        <w:rPr>
          <w:noProof/>
        </w:rPr>
        <w:fldChar w:fldCharType="end"/>
      </w:r>
    </w:p>
    <w:p w14:paraId="180DC117" w14:textId="100FC1AC" w:rsidR="001B180D" w:rsidRPr="001B180D" w:rsidRDefault="001B180D" w:rsidP="001B180D">
      <w:pPr>
        <w:jc w:val="center"/>
        <w:rPr>
          <w:b/>
          <w:lang w:val="en-US"/>
        </w:rPr>
      </w:pPr>
      <w:r>
        <w:rPr>
          <w:b/>
          <w:noProof/>
        </w:rPr>
        <w:t>Figure 1: Indoor sub7 simulation office layout (from [3])</w:t>
      </w:r>
    </w:p>
    <w:p w14:paraId="2631CE50" w14:textId="4B85CED0" w:rsidR="00F67501" w:rsidRDefault="001B180D" w:rsidP="001B494A">
      <w:pPr>
        <w:rPr>
          <w:lang w:val="en-US"/>
        </w:rPr>
      </w:pPr>
      <w:r>
        <w:rPr>
          <w:lang w:val="en-US"/>
        </w:rPr>
        <w:t xml:space="preserve">The MCL analysis indicates that some distance between the adjacent channel base stations is required. The distances </w:t>
      </w:r>
      <w:r>
        <w:rPr>
          <w:lang w:val="en-US"/>
        </w:rPr>
        <w:br/>
      </w:r>
      <w:r>
        <w:rPr>
          <w:i/>
          <w:lang w:val="en-US"/>
        </w:rPr>
        <w:t>b</w:t>
      </w:r>
      <w:r>
        <w:rPr>
          <w:lang w:val="en-US"/>
        </w:rPr>
        <w:t xml:space="preserve"> and </w:t>
      </w:r>
      <w:r>
        <w:rPr>
          <w:i/>
          <w:lang w:val="en-US"/>
        </w:rPr>
        <w:t>d</w:t>
      </w:r>
      <w:r>
        <w:rPr>
          <w:lang w:val="en-US"/>
        </w:rPr>
        <w:t xml:space="preserve"> should result in a reasonable DL-to-UL interference level compared to UL sensitivity. The number of base stations could be lower if e.g. 3.5 GHz frequency is assumed, as the propagation losses are not as high as at 5 GHz. </w:t>
      </w:r>
      <w:proofErr w:type="gramStart"/>
      <w:r>
        <w:rPr>
          <w:lang w:val="en-US"/>
        </w:rPr>
        <w:t>Also</w:t>
      </w:r>
      <w:proofErr w:type="gramEnd"/>
      <w:r>
        <w:rPr>
          <w:lang w:val="en-US"/>
        </w:rPr>
        <w:t xml:space="preserve"> other details could be left for companies to determine, as </w:t>
      </w:r>
      <w:r w:rsidR="00C33434">
        <w:rPr>
          <w:lang w:val="en-US"/>
        </w:rPr>
        <w:t xml:space="preserve">different input parameters could result in </w:t>
      </w:r>
      <w:r w:rsidR="00E46CA7">
        <w:rPr>
          <w:lang w:val="en-US"/>
        </w:rPr>
        <w:t>different findings which may not be evident otherwise.</w:t>
      </w:r>
    </w:p>
    <w:p w14:paraId="3ED167B8" w14:textId="18751F00" w:rsidR="001B180D" w:rsidRDefault="001B180D" w:rsidP="001B494A">
      <w:pPr>
        <w:rPr>
          <w:lang w:val="en-US"/>
        </w:rPr>
      </w:pPr>
      <w:r>
        <w:rPr>
          <w:lang w:val="en-US"/>
        </w:rPr>
        <w:t xml:space="preserve">This scenario presents a reasonable BS-to-BS co-existence setup. </w:t>
      </w:r>
      <w:proofErr w:type="gramStart"/>
      <w:r>
        <w:rPr>
          <w:lang w:val="en-US"/>
        </w:rPr>
        <w:t>Also</w:t>
      </w:r>
      <w:proofErr w:type="gramEnd"/>
      <w:r>
        <w:rPr>
          <w:lang w:val="en-US"/>
        </w:rPr>
        <w:t xml:space="preserve"> UE-to-UE interference is present.</w:t>
      </w:r>
    </w:p>
    <w:p w14:paraId="2F4FB845" w14:textId="70E3F06A" w:rsidR="001B180D" w:rsidRPr="001B180D" w:rsidRDefault="001B180D" w:rsidP="001B494A">
      <w:pPr>
        <w:rPr>
          <w:b/>
          <w:lang w:val="en-US"/>
        </w:rPr>
      </w:pPr>
      <w:r>
        <w:rPr>
          <w:b/>
          <w:lang w:val="en-US"/>
        </w:rPr>
        <w:lastRenderedPageBreak/>
        <w:t xml:space="preserve">Proposal </w:t>
      </w:r>
      <w:r w:rsidR="005472C5">
        <w:rPr>
          <w:b/>
          <w:lang w:val="en-US"/>
        </w:rPr>
        <w:t>4</w:t>
      </w:r>
      <w:r>
        <w:rPr>
          <w:b/>
          <w:lang w:val="en-US"/>
        </w:rPr>
        <w:t>: Re-use the NR-U indoor scenario in dynamic TDD adjacent channel co-existence study.</w:t>
      </w:r>
      <w:r w:rsidR="00EF6304">
        <w:rPr>
          <w:b/>
          <w:lang w:val="en-US"/>
        </w:rPr>
        <w:t xml:space="preserve"> </w:t>
      </w:r>
      <w:r w:rsidR="0084176E">
        <w:rPr>
          <w:b/>
          <w:lang w:val="en-US"/>
        </w:rPr>
        <w:t>This model applies to Proposal 2b (FR1 co-existence between indoor local area BSs).</w:t>
      </w:r>
    </w:p>
    <w:p w14:paraId="5D4A3628" w14:textId="030C7819" w:rsidR="00E46CA7" w:rsidRDefault="00E46CA7" w:rsidP="001B494A">
      <w:pPr>
        <w:rPr>
          <w:lang w:val="en-US"/>
        </w:rPr>
      </w:pPr>
      <w:r>
        <w:rPr>
          <w:lang w:val="en-US"/>
        </w:rPr>
        <w:t xml:space="preserve">Considering difficult UE-to-UE co-existence cases, the small cell enhancements study scenario #2b [4] could provide a reasonable starting point. </w:t>
      </w:r>
    </w:p>
    <w:p w14:paraId="10680936" w14:textId="52176D5E" w:rsidR="00E46CA7" w:rsidRDefault="00E46CA7" w:rsidP="00E46CA7">
      <w:pPr>
        <w:keepNext/>
        <w:jc w:val="center"/>
        <w:rPr>
          <w:lang w:val="en-US"/>
        </w:rPr>
      </w:pPr>
      <w:r>
        <w:rPr>
          <w:noProof/>
          <w:lang w:val="en-US"/>
        </w:rPr>
        <w:drawing>
          <wp:inline distT="0" distB="0" distL="0" distR="0" wp14:anchorId="2066FD0B" wp14:editId="154427A7">
            <wp:extent cx="2329349" cy="17695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19-01-30 at 13.42.13.png"/>
                    <pic:cNvPicPr/>
                  </pic:nvPicPr>
                  <pic:blipFill>
                    <a:blip r:embed="rId14">
                      <a:extLst>
                        <a:ext uri="{28A0092B-C50C-407E-A947-70E740481C1C}">
                          <a14:useLocalDpi xmlns:a14="http://schemas.microsoft.com/office/drawing/2010/main" val="0"/>
                        </a:ext>
                      </a:extLst>
                    </a:blip>
                    <a:stretch>
                      <a:fillRect/>
                    </a:stretch>
                  </pic:blipFill>
                  <pic:spPr>
                    <a:xfrm>
                      <a:off x="0" y="0"/>
                      <a:ext cx="2345457" cy="1781770"/>
                    </a:xfrm>
                    <a:prstGeom prst="rect">
                      <a:avLst/>
                    </a:prstGeom>
                  </pic:spPr>
                </pic:pic>
              </a:graphicData>
            </a:graphic>
          </wp:inline>
        </w:drawing>
      </w:r>
    </w:p>
    <w:p w14:paraId="67CB956D" w14:textId="103CA395" w:rsidR="00E46CA7" w:rsidRPr="00E46CA7" w:rsidRDefault="00E46CA7" w:rsidP="00E46CA7">
      <w:pPr>
        <w:jc w:val="center"/>
        <w:rPr>
          <w:b/>
          <w:lang w:val="en-US"/>
        </w:rPr>
      </w:pPr>
      <w:r>
        <w:rPr>
          <w:b/>
          <w:noProof/>
        </w:rPr>
        <w:t>Figure 2: Small cell deployment scenario #2b (from [4])</w:t>
      </w:r>
    </w:p>
    <w:p w14:paraId="2C693EFF" w14:textId="28441928" w:rsidR="00E46CA7" w:rsidRDefault="00E46CA7" w:rsidP="001B494A">
      <w:pPr>
        <w:rPr>
          <w:lang w:val="en-US"/>
        </w:rPr>
      </w:pPr>
      <w:r>
        <w:rPr>
          <w:lang w:val="en-US"/>
        </w:rPr>
        <w:t>In the scenario, there is a macro cell (outdoor) on frequency F1 and small cells (indoor) on frequency F2. Assuming F1 and F2 are adjacent channels and belong to different operators, the scenario can be used to evaluate both BS-to-BS interference (i.e. under which conditions the small cells may operate under different TDD configuration than the macro) and UE-to-UE interference. Of course, there is no coordination between the networks of the two operators, unlike in the figure which assumes a single operator.</w:t>
      </w:r>
    </w:p>
    <w:p w14:paraId="3E6DAEA6" w14:textId="77777777" w:rsidR="00E46CA7" w:rsidRDefault="00E46CA7" w:rsidP="00E46CA7">
      <w:pPr>
        <w:rPr>
          <w:b/>
          <w:lang w:val="en-US"/>
        </w:rPr>
      </w:pPr>
      <w:r>
        <w:rPr>
          <w:lang w:val="en-US"/>
        </w:rPr>
        <w:t>If the UEs are deployed indoors, the ones connected to the outdoor macro will likely have high transmit output power (causing interference to other UEs) and also be more susceptible to interference due to DL operation near sensitivity level.</w:t>
      </w:r>
    </w:p>
    <w:p w14:paraId="4E9DED4B" w14:textId="5DC1DA63" w:rsidR="00E46CA7" w:rsidRDefault="00E46CA7" w:rsidP="00E46CA7">
      <w:pPr>
        <w:rPr>
          <w:b/>
          <w:lang w:val="en-US"/>
        </w:rPr>
      </w:pPr>
      <w:r>
        <w:rPr>
          <w:b/>
          <w:lang w:val="en-US"/>
        </w:rPr>
        <w:t xml:space="preserve">Proposal </w:t>
      </w:r>
      <w:r w:rsidR="005472C5">
        <w:rPr>
          <w:b/>
          <w:lang w:val="en-US"/>
        </w:rPr>
        <w:t>5</w:t>
      </w:r>
      <w:r>
        <w:rPr>
          <w:b/>
          <w:lang w:val="en-US"/>
        </w:rPr>
        <w:t>: Re-use the small cell deployment scenario #2b in dynamic TDD adjacent channel co-existence study.</w:t>
      </w:r>
      <w:r w:rsidR="00EF6304">
        <w:rPr>
          <w:b/>
          <w:lang w:val="en-US"/>
        </w:rPr>
        <w:t xml:space="preserve"> </w:t>
      </w:r>
      <w:r w:rsidR="0084176E">
        <w:rPr>
          <w:b/>
          <w:lang w:val="en-US"/>
        </w:rPr>
        <w:t>This model applies to Proposal 2a (FR1 outdoor wide area BS co-existence with indoor local area BS).</w:t>
      </w:r>
    </w:p>
    <w:p w14:paraId="76892C19" w14:textId="65DE4A2F" w:rsidR="0084176E" w:rsidRDefault="0084176E" w:rsidP="00E46CA7">
      <w:pPr>
        <w:rPr>
          <w:lang w:val="en-US"/>
        </w:rPr>
      </w:pPr>
      <w:r>
        <w:rPr>
          <w:lang w:val="en-US"/>
        </w:rPr>
        <w:t xml:space="preserve">Outdoor Urban Micro </w:t>
      </w:r>
      <w:r w:rsidR="005472C5">
        <w:rPr>
          <w:lang w:val="en-US"/>
        </w:rPr>
        <w:t>– street canyon model in TR 38.901 [5] may be used to evaluate the FR2 co-existence or co-location of outdoor base stations. Some modifications may be needed as the FR2 BS co-location with dynamic TDD may not be guaranteed with current RAN4 minimum RF requirements.</w:t>
      </w:r>
    </w:p>
    <w:p w14:paraId="375143CE" w14:textId="1B31A141" w:rsidR="005472C5" w:rsidRDefault="005472C5" w:rsidP="005472C5">
      <w:pPr>
        <w:rPr>
          <w:b/>
          <w:lang w:val="en-US"/>
        </w:rPr>
      </w:pPr>
      <w:r>
        <w:rPr>
          <w:b/>
          <w:lang w:val="en-US"/>
        </w:rPr>
        <w:t>Proposal 6: Re-use the Urban Micro – street canyon model in TR 38.901 in dynamic TDD adjacent channel co-existence study with required modifications. This model applies to Proposal 2c (FR2 co-existence between outdoor (wide area and/or medium range) BSs that are co-located or closely located).</w:t>
      </w:r>
    </w:p>
    <w:p w14:paraId="34B280D6" w14:textId="6913E7AC" w:rsidR="005472C5" w:rsidRPr="0084176E" w:rsidRDefault="005472C5" w:rsidP="00E46CA7">
      <w:pPr>
        <w:rPr>
          <w:lang w:val="en-US"/>
        </w:rPr>
      </w:pPr>
      <w:r>
        <w:rPr>
          <w:lang w:val="en-US"/>
        </w:rPr>
        <w:t>The target of the WI is not to introduce new RF requirements (or at least minimize the impact) to facilitate dynamic TDD. Hence from RAN4 RF requirements perspective, dynamic TDD may be rather transparent</w:t>
      </w:r>
      <w:r w:rsidR="000E41E5">
        <w:rPr>
          <w:lang w:val="en-US"/>
        </w:rPr>
        <w:t>. However</w:t>
      </w:r>
      <w:r w:rsidR="00673969">
        <w:rPr>
          <w:lang w:val="en-US"/>
        </w:rPr>
        <w:t>,</w:t>
      </w:r>
      <w:r w:rsidR="000E41E5">
        <w:rPr>
          <w:lang w:val="en-US"/>
        </w:rPr>
        <w:t xml:space="preserve"> as discussed in this document, the minimum RF performance does not guarantee co-location or co-existence when dynamic TDD is used. Without proper documentation of the study evaluation results, the feasible deployments when dynamic TDD may be used is not clear to the operators. Therefore</w:t>
      </w:r>
      <w:r w:rsidR="00673969">
        <w:rPr>
          <w:lang w:val="en-US"/>
        </w:rPr>
        <w:t>,</w:t>
      </w:r>
      <w:r w:rsidR="000E41E5">
        <w:rPr>
          <w:lang w:val="en-US"/>
        </w:rPr>
        <w:t xml:space="preserve"> t</w:t>
      </w:r>
      <w:r>
        <w:rPr>
          <w:lang w:val="en-US"/>
        </w:rPr>
        <w:t xml:space="preserve">he evaluation results </w:t>
      </w:r>
      <w:r w:rsidR="000E41E5">
        <w:rPr>
          <w:lang w:val="en-US"/>
        </w:rPr>
        <w:t xml:space="preserve">and potential guidelines for practical deployments </w:t>
      </w:r>
      <w:r>
        <w:rPr>
          <w:lang w:val="en-US"/>
        </w:rPr>
        <w:t xml:space="preserve">should be documented in </w:t>
      </w:r>
      <w:r w:rsidR="000E41E5">
        <w:rPr>
          <w:lang w:val="en-US"/>
        </w:rPr>
        <w:t>a Technical Report, preferably 38.9xx series.</w:t>
      </w:r>
    </w:p>
    <w:p w14:paraId="1A291D9A" w14:textId="398C7DC6" w:rsidR="00EF6304" w:rsidRPr="001B180D" w:rsidRDefault="00EF6304" w:rsidP="00E46CA7">
      <w:pPr>
        <w:rPr>
          <w:b/>
          <w:lang w:val="en-US"/>
        </w:rPr>
      </w:pPr>
      <w:r>
        <w:rPr>
          <w:b/>
          <w:lang w:val="en-US"/>
        </w:rPr>
        <w:t xml:space="preserve">Proposal </w:t>
      </w:r>
      <w:r w:rsidR="000E41E5">
        <w:rPr>
          <w:b/>
          <w:lang w:val="en-US"/>
        </w:rPr>
        <w:t>7</w:t>
      </w:r>
      <w:r>
        <w:rPr>
          <w:b/>
          <w:lang w:val="en-US"/>
        </w:rPr>
        <w:t>: Include</w:t>
      </w:r>
      <w:r w:rsidR="000E41E5">
        <w:rPr>
          <w:b/>
          <w:lang w:val="en-US"/>
        </w:rPr>
        <w:t xml:space="preserve"> evaluation</w:t>
      </w:r>
      <w:r>
        <w:rPr>
          <w:b/>
          <w:lang w:val="en-US"/>
        </w:rPr>
        <w:t xml:space="preserve"> results in a new Technical Report</w:t>
      </w:r>
      <w:r w:rsidR="00932D74">
        <w:rPr>
          <w:b/>
          <w:lang w:val="en-US"/>
        </w:rPr>
        <w:t xml:space="preserve"> (38.9xx series)</w:t>
      </w:r>
      <w:r w:rsidR="000E41E5">
        <w:rPr>
          <w:b/>
          <w:lang w:val="en-US"/>
        </w:rPr>
        <w:t>.</w:t>
      </w:r>
    </w:p>
    <w:p w14:paraId="52782008" w14:textId="77777777" w:rsidR="00F32200" w:rsidRDefault="00F32200" w:rsidP="00F32200">
      <w:pPr>
        <w:pStyle w:val="Heading1"/>
      </w:pPr>
      <w:r>
        <w:t>3</w:t>
      </w:r>
      <w:r>
        <w:tab/>
        <w:t>Conclusion</w:t>
      </w:r>
    </w:p>
    <w:p w14:paraId="6571B177" w14:textId="7643E5C3" w:rsidR="00E90BCB" w:rsidRDefault="00E46CA7" w:rsidP="00F32200">
      <w:r>
        <w:t xml:space="preserve">In this document, we have illustrated the potential issues in dynamic TDD between adjacent channel </w:t>
      </w:r>
      <w:proofErr w:type="gramStart"/>
      <w:r>
        <w:t>operators, and</w:t>
      </w:r>
      <w:proofErr w:type="gramEnd"/>
      <w:r>
        <w:t xml:space="preserve"> pointed out the large minimum coupling losses required for interference-free operation.</w:t>
      </w:r>
    </w:p>
    <w:p w14:paraId="25D26F37" w14:textId="628106E2" w:rsidR="00E46CA7" w:rsidRDefault="00E46CA7" w:rsidP="00F32200">
      <w:r>
        <w:t>The following observations were made:</w:t>
      </w:r>
    </w:p>
    <w:p w14:paraId="2123FBF5" w14:textId="0D7D1E27" w:rsidR="00E46CA7" w:rsidRDefault="00E46CA7" w:rsidP="00E46CA7">
      <w:pPr>
        <w:rPr>
          <w:b/>
          <w:lang w:val="en-US"/>
        </w:rPr>
      </w:pPr>
      <w:r>
        <w:rPr>
          <w:b/>
          <w:lang w:val="en-US"/>
        </w:rPr>
        <w:t xml:space="preserve">Observation 1: Current RAN4 minimum RF requirements do not </w:t>
      </w:r>
      <w:r w:rsidR="000E41E5">
        <w:rPr>
          <w:b/>
          <w:lang w:val="en-US"/>
        </w:rPr>
        <w:t xml:space="preserve">guarantee </w:t>
      </w:r>
      <w:r>
        <w:rPr>
          <w:b/>
          <w:lang w:val="en-US"/>
        </w:rPr>
        <w:t>dynamic TDD base station co-location on FR1.</w:t>
      </w:r>
    </w:p>
    <w:p w14:paraId="3046285A" w14:textId="13FA72FF" w:rsidR="00E46CA7" w:rsidRPr="008F463D" w:rsidRDefault="00E46CA7" w:rsidP="00E46CA7">
      <w:pPr>
        <w:rPr>
          <w:b/>
          <w:lang w:val="en-US"/>
        </w:rPr>
      </w:pPr>
      <w:r>
        <w:rPr>
          <w:b/>
          <w:lang w:val="en-US"/>
        </w:rPr>
        <w:t xml:space="preserve">Observation 2: Current RAN4 minimum RF requirements do not </w:t>
      </w:r>
      <w:r w:rsidR="000E41E5">
        <w:rPr>
          <w:b/>
          <w:lang w:val="en-US"/>
        </w:rPr>
        <w:t xml:space="preserve">guarantee </w:t>
      </w:r>
      <w:r>
        <w:rPr>
          <w:b/>
          <w:lang w:val="en-US"/>
        </w:rPr>
        <w:t>dynamic TDD co-existence in macro deployments on FR1.</w:t>
      </w:r>
    </w:p>
    <w:p w14:paraId="64D5194E" w14:textId="2F6D0A75" w:rsidR="00E46CA7" w:rsidRDefault="00E46CA7" w:rsidP="00E46CA7">
      <w:pPr>
        <w:rPr>
          <w:b/>
          <w:lang w:val="en-US"/>
        </w:rPr>
      </w:pPr>
      <w:r>
        <w:rPr>
          <w:b/>
          <w:lang w:val="en-US"/>
        </w:rPr>
        <w:lastRenderedPageBreak/>
        <w:t xml:space="preserve">Observation 3: </w:t>
      </w:r>
      <w:r w:rsidR="000E41E5">
        <w:rPr>
          <w:b/>
          <w:lang w:val="en-US"/>
        </w:rPr>
        <w:t xml:space="preserve">Current RAN4 minimum RF requirements may be </w:t>
      </w:r>
      <w:proofErr w:type="gramStart"/>
      <w:r w:rsidR="000E41E5">
        <w:rPr>
          <w:b/>
          <w:lang w:val="en-US"/>
        </w:rPr>
        <w:t>sufficient</w:t>
      </w:r>
      <w:proofErr w:type="gramEnd"/>
      <w:r w:rsidR="000E41E5">
        <w:rPr>
          <w:b/>
          <w:lang w:val="en-US"/>
        </w:rPr>
        <w:t xml:space="preserve"> to facilitate d</w:t>
      </w:r>
      <w:r>
        <w:rPr>
          <w:b/>
          <w:lang w:val="en-US"/>
        </w:rPr>
        <w:t xml:space="preserve">ynamic TDD adjacent channel co-existence in indoor deployment on FR1 (macro/indoor and indoor/indoor). </w:t>
      </w:r>
    </w:p>
    <w:p w14:paraId="3FF6F3B9" w14:textId="0434B96B" w:rsidR="00E46CA7" w:rsidRDefault="00E46CA7" w:rsidP="00E46CA7">
      <w:pPr>
        <w:rPr>
          <w:b/>
          <w:lang w:val="en-US"/>
        </w:rPr>
      </w:pPr>
      <w:r>
        <w:rPr>
          <w:b/>
          <w:lang w:val="en-US"/>
        </w:rPr>
        <w:t xml:space="preserve">Observation 4: Current RAN4 minimum RF requirements do not guarantee UE-to-UE </w:t>
      </w:r>
      <w:r w:rsidR="00673969">
        <w:rPr>
          <w:b/>
          <w:lang w:val="en-US"/>
        </w:rPr>
        <w:t xml:space="preserve">adjacent channel </w:t>
      </w:r>
      <w:r>
        <w:rPr>
          <w:b/>
          <w:lang w:val="en-US"/>
        </w:rPr>
        <w:t>co-existence with dynamic TDD on FR1.</w:t>
      </w:r>
    </w:p>
    <w:p w14:paraId="0AF2008B" w14:textId="6FE031E9" w:rsidR="00E46CA7" w:rsidRPr="00E46CA7" w:rsidRDefault="004D4354" w:rsidP="00F32200">
      <w:pPr>
        <w:rPr>
          <w:lang w:val="en-US"/>
        </w:rPr>
      </w:pPr>
      <w:r>
        <w:rPr>
          <w:lang w:val="en-US"/>
        </w:rPr>
        <w:t>To progress the dynamic TDD work, we propose the following:</w:t>
      </w:r>
    </w:p>
    <w:p w14:paraId="0941120C" w14:textId="05B5BBEB" w:rsidR="004D4354" w:rsidRPr="008F463D" w:rsidRDefault="004D4354" w:rsidP="004D4354">
      <w:pPr>
        <w:rPr>
          <w:b/>
          <w:lang w:val="en-US"/>
        </w:rPr>
      </w:pPr>
      <w:r>
        <w:rPr>
          <w:b/>
          <w:lang w:val="en-US"/>
        </w:rPr>
        <w:t xml:space="preserve">Proposal 1: RAN4 shall study dynamic TDD scenarios which may facilitate </w:t>
      </w:r>
      <w:r w:rsidR="000E41E5">
        <w:rPr>
          <w:b/>
          <w:lang w:val="en-US"/>
        </w:rPr>
        <w:t xml:space="preserve">sufficient </w:t>
      </w:r>
      <w:r>
        <w:rPr>
          <w:b/>
          <w:lang w:val="en-US"/>
        </w:rPr>
        <w:t>BS-to-BS adjacent channel co</w:t>
      </w:r>
      <w:r w:rsidR="000E41E5">
        <w:rPr>
          <w:b/>
          <w:lang w:val="en-US"/>
        </w:rPr>
        <w:t>-</w:t>
      </w:r>
      <w:r>
        <w:rPr>
          <w:b/>
          <w:lang w:val="en-US"/>
        </w:rPr>
        <w:t>existence.</w:t>
      </w:r>
    </w:p>
    <w:p w14:paraId="54BDD0F9" w14:textId="77777777" w:rsidR="000E41E5" w:rsidRDefault="000E41E5" w:rsidP="000E41E5">
      <w:pPr>
        <w:rPr>
          <w:b/>
          <w:lang w:val="en-US"/>
        </w:rPr>
      </w:pPr>
      <w:r>
        <w:rPr>
          <w:b/>
          <w:lang w:val="en-US"/>
        </w:rPr>
        <w:t>Proposal 2: The following BS-to-BS scenarios are studied with priority:</w:t>
      </w:r>
    </w:p>
    <w:p w14:paraId="1106D593" w14:textId="77777777" w:rsidR="000E41E5" w:rsidRDefault="000E41E5" w:rsidP="000E41E5">
      <w:pPr>
        <w:pStyle w:val="ListParagraph"/>
        <w:numPr>
          <w:ilvl w:val="0"/>
          <w:numId w:val="10"/>
        </w:numPr>
        <w:rPr>
          <w:b/>
          <w:lang w:val="en-US"/>
        </w:rPr>
      </w:pPr>
      <w:r>
        <w:rPr>
          <w:b/>
          <w:lang w:val="en-US"/>
        </w:rPr>
        <w:t>FR1 outdoor wide area BS co-existence with indoor local area BS</w:t>
      </w:r>
    </w:p>
    <w:p w14:paraId="4E3C1835" w14:textId="77777777" w:rsidR="000E41E5" w:rsidRDefault="000E41E5" w:rsidP="000E41E5">
      <w:pPr>
        <w:pStyle w:val="ListParagraph"/>
        <w:numPr>
          <w:ilvl w:val="0"/>
          <w:numId w:val="10"/>
        </w:numPr>
        <w:rPr>
          <w:b/>
          <w:lang w:val="en-US"/>
        </w:rPr>
      </w:pPr>
      <w:r>
        <w:rPr>
          <w:b/>
          <w:lang w:val="en-US"/>
        </w:rPr>
        <w:t>FR1 co-existence between indoor local area BSs</w:t>
      </w:r>
    </w:p>
    <w:p w14:paraId="72797EBF" w14:textId="77777777" w:rsidR="000E41E5" w:rsidRDefault="000E41E5" w:rsidP="000E41E5">
      <w:pPr>
        <w:pStyle w:val="ListParagraph"/>
        <w:numPr>
          <w:ilvl w:val="0"/>
          <w:numId w:val="10"/>
        </w:numPr>
        <w:rPr>
          <w:b/>
          <w:lang w:val="en-US"/>
        </w:rPr>
      </w:pPr>
      <w:r>
        <w:rPr>
          <w:b/>
          <w:lang w:val="en-US"/>
        </w:rPr>
        <w:t>FR2 co-existence between outdoor (wide area and/or medium range) BSs that are co-located or closely located</w:t>
      </w:r>
    </w:p>
    <w:p w14:paraId="5594A6EB" w14:textId="27F6DA60" w:rsidR="004D4354" w:rsidRPr="00F67501" w:rsidRDefault="004D4354" w:rsidP="004D4354">
      <w:pPr>
        <w:rPr>
          <w:b/>
          <w:lang w:val="en-US"/>
        </w:rPr>
      </w:pPr>
      <w:r>
        <w:rPr>
          <w:b/>
          <w:lang w:val="en-US"/>
        </w:rPr>
        <w:t xml:space="preserve">Proposal </w:t>
      </w:r>
      <w:r w:rsidR="000E41E5">
        <w:rPr>
          <w:b/>
          <w:lang w:val="en-US"/>
        </w:rPr>
        <w:t>3</w:t>
      </w:r>
      <w:r>
        <w:rPr>
          <w:b/>
          <w:lang w:val="en-US"/>
        </w:rPr>
        <w:t xml:space="preserve">: RAN4 shall study dynamic TDD scenarios which may facilitate </w:t>
      </w:r>
      <w:r w:rsidR="000E41E5">
        <w:rPr>
          <w:b/>
          <w:lang w:val="en-US"/>
        </w:rPr>
        <w:t xml:space="preserve">sufficient </w:t>
      </w:r>
      <w:r>
        <w:rPr>
          <w:b/>
          <w:lang w:val="en-US"/>
        </w:rPr>
        <w:t>UE-to-UE adjacent channel co</w:t>
      </w:r>
      <w:r w:rsidR="000E41E5">
        <w:rPr>
          <w:b/>
          <w:lang w:val="en-US"/>
        </w:rPr>
        <w:t>-</w:t>
      </w:r>
      <w:r>
        <w:rPr>
          <w:b/>
          <w:lang w:val="en-US"/>
        </w:rPr>
        <w:t>existence.</w:t>
      </w:r>
      <w:r w:rsidR="000E41E5" w:rsidRPr="000E41E5">
        <w:rPr>
          <w:b/>
          <w:lang w:val="en-US"/>
        </w:rPr>
        <w:t xml:space="preserve"> </w:t>
      </w:r>
      <w:r w:rsidR="000E41E5">
        <w:rPr>
          <w:b/>
          <w:lang w:val="en-US"/>
        </w:rPr>
        <w:t>UE co-existence is evaluated in the same scenarios as outlined in Proposal 2 to give better understanding of dynamic TDD system performance.</w:t>
      </w:r>
    </w:p>
    <w:p w14:paraId="6949C14B" w14:textId="256B33A2" w:rsidR="004D4354" w:rsidRPr="001B180D" w:rsidRDefault="004D4354" w:rsidP="004D4354">
      <w:pPr>
        <w:rPr>
          <w:b/>
          <w:lang w:val="en-US"/>
        </w:rPr>
      </w:pPr>
      <w:r>
        <w:rPr>
          <w:b/>
          <w:lang w:val="en-US"/>
        </w:rPr>
        <w:t xml:space="preserve">Proposal </w:t>
      </w:r>
      <w:r w:rsidR="000E41E5">
        <w:rPr>
          <w:b/>
          <w:lang w:val="en-US"/>
        </w:rPr>
        <w:t>4</w:t>
      </w:r>
      <w:r>
        <w:rPr>
          <w:b/>
          <w:lang w:val="en-US"/>
        </w:rPr>
        <w:t>: Re-use the NR-U indoor scenario in dynamic TDD adjacent channel co-existence study.</w:t>
      </w:r>
      <w:r w:rsidR="000E41E5">
        <w:rPr>
          <w:b/>
          <w:lang w:val="en-US"/>
        </w:rPr>
        <w:t xml:space="preserve"> This model applies to Proposal 2b (FR1 co-existence between indoor local area BSs).</w:t>
      </w:r>
    </w:p>
    <w:p w14:paraId="44ACA347" w14:textId="6CBF7547" w:rsidR="000E41E5" w:rsidRDefault="004D4354" w:rsidP="000E41E5">
      <w:pPr>
        <w:rPr>
          <w:b/>
          <w:lang w:val="en-US"/>
        </w:rPr>
      </w:pPr>
      <w:r>
        <w:rPr>
          <w:b/>
          <w:lang w:val="en-US"/>
        </w:rPr>
        <w:t xml:space="preserve">Proposal </w:t>
      </w:r>
      <w:r w:rsidR="000E41E5">
        <w:rPr>
          <w:b/>
          <w:lang w:val="en-US"/>
        </w:rPr>
        <w:t>5</w:t>
      </w:r>
      <w:r>
        <w:rPr>
          <w:b/>
          <w:lang w:val="en-US"/>
        </w:rPr>
        <w:t>: Re-use the small cell deployment scenario #2b in dynamic TDD adjacent channel co-existence study.</w:t>
      </w:r>
      <w:r w:rsidR="000E41E5" w:rsidRPr="000E41E5">
        <w:rPr>
          <w:b/>
          <w:lang w:val="en-US"/>
        </w:rPr>
        <w:t xml:space="preserve"> </w:t>
      </w:r>
      <w:r w:rsidR="000E41E5">
        <w:rPr>
          <w:b/>
          <w:lang w:val="en-US"/>
        </w:rPr>
        <w:t>This model applies to Proposal 2a (FR1 outdoor wide area BS co-existence with indoor local area BS).</w:t>
      </w:r>
    </w:p>
    <w:p w14:paraId="0D4AD153" w14:textId="77777777" w:rsidR="000E41E5" w:rsidRDefault="000E41E5" w:rsidP="000E41E5">
      <w:pPr>
        <w:rPr>
          <w:b/>
          <w:lang w:val="en-US"/>
        </w:rPr>
      </w:pPr>
      <w:r>
        <w:rPr>
          <w:b/>
          <w:lang w:val="en-US"/>
        </w:rPr>
        <w:t>Proposal 6: Re-use the Urban Micro – street canyon model in TR 38.901 in dynamic TDD adjacent channel co-existence study with required modifications. This model applies to Proposal 2c (FR2 co-existence between outdoor (wide area and/or medium range) BSs that are co-located or closely located).</w:t>
      </w:r>
    </w:p>
    <w:p w14:paraId="1C4CFB0E" w14:textId="78BDA49D" w:rsidR="000E41E5" w:rsidRPr="001B180D" w:rsidRDefault="000E41E5" w:rsidP="004D4354">
      <w:pPr>
        <w:rPr>
          <w:b/>
          <w:lang w:val="en-US"/>
        </w:rPr>
      </w:pPr>
      <w:r>
        <w:rPr>
          <w:b/>
          <w:lang w:val="en-US"/>
        </w:rPr>
        <w:t>Proposal 7: Include evaluation results in a new Technical Report (38.9xx series).</w:t>
      </w:r>
    </w:p>
    <w:p w14:paraId="55B204E9" w14:textId="77777777" w:rsidR="0057669F" w:rsidRDefault="0057669F" w:rsidP="0057669F">
      <w:pPr>
        <w:pStyle w:val="Heading1"/>
      </w:pPr>
      <w:r>
        <w:t>4</w:t>
      </w:r>
      <w:r>
        <w:tab/>
        <w:t>Reference</w:t>
      </w:r>
      <w:r w:rsidR="0035582C">
        <w:t>s</w:t>
      </w:r>
    </w:p>
    <w:p w14:paraId="297340F4" w14:textId="7AEA13B4" w:rsidR="0057669F" w:rsidRDefault="0035582C" w:rsidP="002C1C70">
      <w:pPr>
        <w:ind w:left="567" w:hanging="567"/>
      </w:pPr>
      <w:r>
        <w:rPr>
          <w:lang w:val="en-US" w:eastAsia="ja-JP"/>
        </w:rPr>
        <w:t>[1]</w:t>
      </w:r>
      <w:r>
        <w:rPr>
          <w:lang w:val="en-US" w:eastAsia="ja-JP"/>
        </w:rPr>
        <w:tab/>
        <w:t>RP-</w:t>
      </w:r>
      <w:r w:rsidR="002C1C70">
        <w:rPr>
          <w:lang w:val="en-US" w:eastAsia="ja-JP"/>
        </w:rPr>
        <w:t xml:space="preserve">181431, </w:t>
      </w:r>
      <w:r w:rsidR="002C1C70" w:rsidRPr="00544FFC">
        <w:t>New WID on Cross Link Interference (CLI) handling and Remote Interference Management (RIM) for NR</w:t>
      </w:r>
    </w:p>
    <w:p w14:paraId="0102CB9E" w14:textId="4785A98B" w:rsidR="00DB78B8" w:rsidRDefault="00DB78B8" w:rsidP="00CA5455">
      <w:pPr>
        <w:ind w:left="567" w:hanging="567"/>
        <w:rPr>
          <w:lang w:val="en-US"/>
        </w:rPr>
      </w:pPr>
      <w:r>
        <w:t>[2]</w:t>
      </w:r>
      <w:r>
        <w:tab/>
        <w:t>ECC Report 281</w:t>
      </w:r>
      <w:r w:rsidR="00CA5455">
        <w:t xml:space="preserve">, </w:t>
      </w:r>
      <w:r w:rsidR="00CA5455" w:rsidRPr="00CA5455">
        <w:rPr>
          <w:lang w:val="en-US"/>
        </w:rPr>
        <w:t>Analysis of the suitability of the regulatory technical conditions for 5G MFCN oper</w:t>
      </w:r>
      <w:r w:rsidR="00CA5455">
        <w:rPr>
          <w:lang w:val="en-US"/>
        </w:rPr>
        <w:t>ation in the 3400-3800 MHz band</w:t>
      </w:r>
    </w:p>
    <w:p w14:paraId="6DC60CF7" w14:textId="5591ED6F" w:rsidR="001B180D" w:rsidRDefault="001B180D" w:rsidP="001B180D">
      <w:pPr>
        <w:ind w:left="567" w:hanging="567"/>
        <w:rPr>
          <w:lang w:val="en-US"/>
        </w:rPr>
      </w:pPr>
      <w:r>
        <w:rPr>
          <w:lang w:val="en-US"/>
        </w:rPr>
        <w:t>[3]</w:t>
      </w:r>
      <w:r>
        <w:rPr>
          <w:lang w:val="en-US"/>
        </w:rPr>
        <w:tab/>
        <w:t xml:space="preserve">3GPP TR 38.889, </w:t>
      </w:r>
      <w:r w:rsidRPr="001B180D">
        <w:rPr>
          <w:lang w:val="en-US"/>
        </w:rPr>
        <w:t>Study on NR-based access to unlicensed spectrum</w:t>
      </w:r>
      <w:r>
        <w:rPr>
          <w:lang w:val="en-US"/>
        </w:rPr>
        <w:t xml:space="preserve"> </w:t>
      </w:r>
      <w:r w:rsidRPr="001B180D">
        <w:rPr>
          <w:lang w:val="en-US"/>
        </w:rPr>
        <w:t>(Release 16)</w:t>
      </w:r>
    </w:p>
    <w:p w14:paraId="5A4E9F21" w14:textId="5291D86B" w:rsidR="001B180D" w:rsidRDefault="001B180D" w:rsidP="001B180D">
      <w:pPr>
        <w:ind w:left="567" w:hanging="567"/>
        <w:rPr>
          <w:lang w:val="en-US"/>
        </w:rPr>
      </w:pPr>
      <w:r>
        <w:rPr>
          <w:lang w:val="en-US"/>
        </w:rPr>
        <w:t>[4]</w:t>
      </w:r>
      <w:r>
        <w:rPr>
          <w:lang w:val="en-US"/>
        </w:rPr>
        <w:tab/>
        <w:t xml:space="preserve">3GPP TR 36.872, </w:t>
      </w:r>
      <w:r w:rsidRPr="001B180D">
        <w:rPr>
          <w:lang w:val="en-US"/>
        </w:rPr>
        <w:t>Small cell enhancements for E-UTRA and E-UTRAN - Physical layer aspects</w:t>
      </w:r>
      <w:r>
        <w:rPr>
          <w:lang w:val="en-US"/>
        </w:rPr>
        <w:t xml:space="preserve"> </w:t>
      </w:r>
      <w:r w:rsidRPr="001B180D">
        <w:rPr>
          <w:lang w:val="en-US"/>
        </w:rPr>
        <w:t>(Release 12)</w:t>
      </w:r>
    </w:p>
    <w:p w14:paraId="402861C1" w14:textId="7886E66A" w:rsidR="005472C5" w:rsidRPr="00992EBC" w:rsidRDefault="005472C5" w:rsidP="001B180D">
      <w:pPr>
        <w:ind w:left="567" w:hanging="567"/>
      </w:pPr>
      <w:r>
        <w:rPr>
          <w:lang w:val="en-US"/>
        </w:rPr>
        <w:t>[5]</w:t>
      </w:r>
      <w:r>
        <w:rPr>
          <w:lang w:val="en-US"/>
        </w:rPr>
        <w:tab/>
        <w:t xml:space="preserve">3GPP TR 38.901, </w:t>
      </w:r>
      <w:r w:rsidRPr="005472C5">
        <w:rPr>
          <w:lang w:val="en-US"/>
        </w:rPr>
        <w:t>Study on channel model for frequencies from 0.5 to 100 GHz (Release 15)</w:t>
      </w:r>
    </w:p>
    <w:sectPr w:rsidR="005472C5" w:rsidRPr="00992EBC" w:rsidSect="00F3220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0CB8E" w14:textId="77777777" w:rsidR="00432ED7" w:rsidRDefault="00432ED7" w:rsidP="002B3503">
      <w:pPr>
        <w:spacing w:after="0"/>
      </w:pPr>
      <w:r>
        <w:separator/>
      </w:r>
    </w:p>
  </w:endnote>
  <w:endnote w:type="continuationSeparator" w:id="0">
    <w:p w14:paraId="6E587075" w14:textId="77777777" w:rsidR="00432ED7" w:rsidRDefault="00432ED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3A292" w14:textId="77777777" w:rsidR="00432ED7" w:rsidRDefault="00432ED7" w:rsidP="002B3503">
      <w:pPr>
        <w:spacing w:after="0"/>
      </w:pPr>
      <w:r>
        <w:separator/>
      </w:r>
    </w:p>
  </w:footnote>
  <w:footnote w:type="continuationSeparator" w:id="0">
    <w:p w14:paraId="00F0621B" w14:textId="77777777" w:rsidR="00432ED7" w:rsidRDefault="00432ED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6"/>
  </w:num>
  <w:num w:numId="5">
    <w:abstractNumId w:val="7"/>
  </w:num>
  <w:num w:numId="6">
    <w:abstractNumId w:val="8"/>
  </w:num>
  <w:num w:numId="7">
    <w:abstractNumId w:val="3"/>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683"/>
    <w:rsid w:val="000138E1"/>
    <w:rsid w:val="000146D1"/>
    <w:rsid w:val="00017F18"/>
    <w:rsid w:val="00046F81"/>
    <w:rsid w:val="000832DA"/>
    <w:rsid w:val="00091F0B"/>
    <w:rsid w:val="000943A9"/>
    <w:rsid w:val="000A6473"/>
    <w:rsid w:val="000B4E56"/>
    <w:rsid w:val="000B5E8E"/>
    <w:rsid w:val="000C07E1"/>
    <w:rsid w:val="000D6C3A"/>
    <w:rsid w:val="000E41E5"/>
    <w:rsid w:val="000F2546"/>
    <w:rsid w:val="00101626"/>
    <w:rsid w:val="001364A1"/>
    <w:rsid w:val="0015000E"/>
    <w:rsid w:val="0016131F"/>
    <w:rsid w:val="00164A53"/>
    <w:rsid w:val="001B180D"/>
    <w:rsid w:val="001B494A"/>
    <w:rsid w:val="001C3296"/>
    <w:rsid w:val="001D4627"/>
    <w:rsid w:val="00210C9E"/>
    <w:rsid w:val="002127E2"/>
    <w:rsid w:val="00214C87"/>
    <w:rsid w:val="00215035"/>
    <w:rsid w:val="00277EE7"/>
    <w:rsid w:val="00285189"/>
    <w:rsid w:val="00285EBA"/>
    <w:rsid w:val="00291DDD"/>
    <w:rsid w:val="002A7181"/>
    <w:rsid w:val="002B3503"/>
    <w:rsid w:val="002B3F6F"/>
    <w:rsid w:val="002C1641"/>
    <w:rsid w:val="002C1C70"/>
    <w:rsid w:val="002F0018"/>
    <w:rsid w:val="002F6A38"/>
    <w:rsid w:val="00347DEA"/>
    <w:rsid w:val="0035582C"/>
    <w:rsid w:val="00363074"/>
    <w:rsid w:val="003777FE"/>
    <w:rsid w:val="003C3016"/>
    <w:rsid w:val="003F0CBC"/>
    <w:rsid w:val="00404C40"/>
    <w:rsid w:val="0042109F"/>
    <w:rsid w:val="00432ED7"/>
    <w:rsid w:val="0043450E"/>
    <w:rsid w:val="00453BA5"/>
    <w:rsid w:val="00454E53"/>
    <w:rsid w:val="004754A1"/>
    <w:rsid w:val="00482477"/>
    <w:rsid w:val="00484762"/>
    <w:rsid w:val="00491386"/>
    <w:rsid w:val="00494F18"/>
    <w:rsid w:val="004A41DA"/>
    <w:rsid w:val="004C0103"/>
    <w:rsid w:val="004C58F9"/>
    <w:rsid w:val="004D0C67"/>
    <w:rsid w:val="004D3D81"/>
    <w:rsid w:val="004D4354"/>
    <w:rsid w:val="00512C65"/>
    <w:rsid w:val="005304C6"/>
    <w:rsid w:val="00542EA4"/>
    <w:rsid w:val="00544A0E"/>
    <w:rsid w:val="005472C5"/>
    <w:rsid w:val="00551BD8"/>
    <w:rsid w:val="00560A63"/>
    <w:rsid w:val="00562498"/>
    <w:rsid w:val="00564B2E"/>
    <w:rsid w:val="00570B14"/>
    <w:rsid w:val="0057669F"/>
    <w:rsid w:val="00587D88"/>
    <w:rsid w:val="005A3D67"/>
    <w:rsid w:val="005B2640"/>
    <w:rsid w:val="005D7B06"/>
    <w:rsid w:val="005F6CE3"/>
    <w:rsid w:val="00602EB6"/>
    <w:rsid w:val="006168C2"/>
    <w:rsid w:val="00641C2E"/>
    <w:rsid w:val="00666120"/>
    <w:rsid w:val="00673969"/>
    <w:rsid w:val="006A21E1"/>
    <w:rsid w:val="006B720B"/>
    <w:rsid w:val="006C6840"/>
    <w:rsid w:val="006C7482"/>
    <w:rsid w:val="006E3462"/>
    <w:rsid w:val="006F1B82"/>
    <w:rsid w:val="006F651D"/>
    <w:rsid w:val="00710301"/>
    <w:rsid w:val="007120DD"/>
    <w:rsid w:val="00721417"/>
    <w:rsid w:val="00726265"/>
    <w:rsid w:val="00734EBD"/>
    <w:rsid w:val="00763E62"/>
    <w:rsid w:val="00782875"/>
    <w:rsid w:val="007A12F4"/>
    <w:rsid w:val="007A23DA"/>
    <w:rsid w:val="007A47C8"/>
    <w:rsid w:val="007D20DF"/>
    <w:rsid w:val="008236E4"/>
    <w:rsid w:val="0084176E"/>
    <w:rsid w:val="00850296"/>
    <w:rsid w:val="00874DB0"/>
    <w:rsid w:val="008771F4"/>
    <w:rsid w:val="008922F9"/>
    <w:rsid w:val="008A4493"/>
    <w:rsid w:val="008D39F0"/>
    <w:rsid w:val="008F463D"/>
    <w:rsid w:val="009050E8"/>
    <w:rsid w:val="00906259"/>
    <w:rsid w:val="0091383D"/>
    <w:rsid w:val="00932D74"/>
    <w:rsid w:val="009351C4"/>
    <w:rsid w:val="00940559"/>
    <w:rsid w:val="009674D4"/>
    <w:rsid w:val="00982464"/>
    <w:rsid w:val="00992EBC"/>
    <w:rsid w:val="00996062"/>
    <w:rsid w:val="009A6A8B"/>
    <w:rsid w:val="009A70AA"/>
    <w:rsid w:val="009B1E68"/>
    <w:rsid w:val="00A067D5"/>
    <w:rsid w:val="00A15FBF"/>
    <w:rsid w:val="00A16B64"/>
    <w:rsid w:val="00A451E8"/>
    <w:rsid w:val="00A466BF"/>
    <w:rsid w:val="00A6018C"/>
    <w:rsid w:val="00A708BD"/>
    <w:rsid w:val="00AD71AD"/>
    <w:rsid w:val="00AE6327"/>
    <w:rsid w:val="00AF14A0"/>
    <w:rsid w:val="00B4385F"/>
    <w:rsid w:val="00B65B59"/>
    <w:rsid w:val="00BC764C"/>
    <w:rsid w:val="00BF4B17"/>
    <w:rsid w:val="00C21554"/>
    <w:rsid w:val="00C24C90"/>
    <w:rsid w:val="00C24D31"/>
    <w:rsid w:val="00C33434"/>
    <w:rsid w:val="00C8477E"/>
    <w:rsid w:val="00C944DE"/>
    <w:rsid w:val="00CA5455"/>
    <w:rsid w:val="00CF249F"/>
    <w:rsid w:val="00D26459"/>
    <w:rsid w:val="00D275CC"/>
    <w:rsid w:val="00D355D3"/>
    <w:rsid w:val="00D54EAA"/>
    <w:rsid w:val="00D767C4"/>
    <w:rsid w:val="00D77CF5"/>
    <w:rsid w:val="00D848CC"/>
    <w:rsid w:val="00D86BF8"/>
    <w:rsid w:val="00D944B1"/>
    <w:rsid w:val="00D95179"/>
    <w:rsid w:val="00DB78B8"/>
    <w:rsid w:val="00DC7584"/>
    <w:rsid w:val="00DF018A"/>
    <w:rsid w:val="00DF0C0A"/>
    <w:rsid w:val="00E13DFA"/>
    <w:rsid w:val="00E33B68"/>
    <w:rsid w:val="00E46CA7"/>
    <w:rsid w:val="00E90BCB"/>
    <w:rsid w:val="00E962C5"/>
    <w:rsid w:val="00EA3488"/>
    <w:rsid w:val="00EB5F7D"/>
    <w:rsid w:val="00EC589F"/>
    <w:rsid w:val="00EF103D"/>
    <w:rsid w:val="00EF6304"/>
    <w:rsid w:val="00F03666"/>
    <w:rsid w:val="00F32200"/>
    <w:rsid w:val="00F32C7F"/>
    <w:rsid w:val="00F40AF9"/>
    <w:rsid w:val="00F51367"/>
    <w:rsid w:val="00F67501"/>
    <w:rsid w:val="00F95D75"/>
    <w:rsid w:val="00F97D64"/>
    <w:rsid w:val="00FA2A7B"/>
    <w:rsid w:val="00FA66CB"/>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rsid w:val="00DF018A"/>
    <w:rPr>
      <w:b/>
    </w:rPr>
  </w:style>
  <w:style w:type="paragraph" w:customStyle="1" w:styleId="TAC">
    <w:name w:val="TAC"/>
    <w:basedOn w:val="TAL"/>
    <w:link w:val="TACChar"/>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5AIRPNAIUNRU-1328258698-216</_dlc_DocId>
    <_dlc_DocIdUrl xmlns="71c5aaf6-e6ce-465b-b873-5148d2a4c105">
      <Url>https://nokia.sharepoint.com/sites/c5g/5gradio/_layouts/15/DocIdRedir.aspx?ID=5AIRPNAIUNRU-1328258698-216</Url>
      <Description>5AIRPNAIUNRU-1328258698-216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6E700-0012-41CC-B20E-24DA22D93C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2CD224-D951-4E4E-BC55-8B644D87B46A}">
  <ds:schemaRefs>
    <ds:schemaRef ds:uri="Microsoft.SharePoint.Taxonomy.ContentTypeSync"/>
  </ds:schemaRefs>
</ds:datastoreItem>
</file>

<file path=customXml/itemProps3.xml><?xml version="1.0" encoding="utf-8"?>
<ds:datastoreItem xmlns:ds="http://schemas.openxmlformats.org/officeDocument/2006/customXml" ds:itemID="{8483125C-8DE7-461D-ACB5-58FB29BB6EAA}">
  <ds:schemaRefs>
    <ds:schemaRef ds:uri="http://schemas.microsoft.com/sharepoint/events"/>
  </ds:schemaRefs>
</ds:datastoreItem>
</file>

<file path=customXml/itemProps4.xml><?xml version="1.0" encoding="utf-8"?>
<ds:datastoreItem xmlns:ds="http://schemas.openxmlformats.org/officeDocument/2006/customXml" ds:itemID="{6FBB0825-0462-47FF-B408-809A72408CE3}">
  <ds:schemaRefs>
    <ds:schemaRef ds:uri="http://schemas.microsoft.com/sharepoint/v3/contenttype/forms"/>
  </ds:schemaRefs>
</ds:datastoreItem>
</file>

<file path=customXml/itemProps5.xml><?xml version="1.0" encoding="utf-8"?>
<ds:datastoreItem xmlns:ds="http://schemas.openxmlformats.org/officeDocument/2006/customXml" ds:itemID="{19F3306C-046F-4A53-B723-C3158C49F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C1ED93-86D9-49EE-B30C-805E6EA8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1710</Words>
  <Characters>13852</Characters>
  <Application>Microsoft Office Word</Application>
  <DocSecurity>0</DocSecurity>
  <Lines>115</Lines>
  <Paragraphs>31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4</cp:revision>
  <cp:lastPrinted>1900-01-01T05:59:00Z</cp:lastPrinted>
  <dcterms:created xsi:type="dcterms:W3CDTF">2019-02-07T10:33:00Z</dcterms:created>
  <dcterms:modified xsi:type="dcterms:W3CDTF">2019-02-15T16:50:00Z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76c75679-a580-4085-b653-4893d8d7b4f7</vt:lpwstr>
  </property>
</Properties>
</file>